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A9CEB">
      <w:pPr>
        <w:pStyle w:val="8"/>
        <w:ind w:firstLine="480"/>
        <w:rPr>
          <w:color w:val="auto"/>
        </w:rPr>
      </w:pPr>
    </w:p>
    <w:p w14:paraId="3A3D5465">
      <w:pPr>
        <w:jc w:val="center"/>
        <w:rPr>
          <w:rFonts w:hint="eastAsia" w:eastAsia="方正小标宋_GBK"/>
          <w:b/>
          <w:bCs/>
          <w:color w:val="auto"/>
          <w:sz w:val="52"/>
          <w:szCs w:val="52"/>
          <w:lang w:eastAsia="zh-CN"/>
        </w:rPr>
      </w:pPr>
    </w:p>
    <w:p w14:paraId="45CA1364">
      <w:pPr>
        <w:jc w:val="center"/>
        <w:rPr>
          <w:rFonts w:hint="eastAsia" w:eastAsia="方正小标宋_GBK"/>
          <w:b/>
          <w:bCs/>
          <w:color w:val="auto"/>
          <w:sz w:val="52"/>
          <w:szCs w:val="52"/>
          <w:lang w:eastAsia="zh-CN"/>
        </w:rPr>
      </w:pPr>
    </w:p>
    <w:p w14:paraId="2013B68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微软雅黑" w:hAnsi="微软雅黑" w:eastAsia="微软雅黑" w:cs="微软雅黑"/>
          <w:b/>
          <w:bCs/>
          <w:color w:val="auto"/>
          <w:sz w:val="44"/>
          <w:szCs w:val="44"/>
        </w:rPr>
      </w:pPr>
      <w:r>
        <w:rPr>
          <w:rFonts w:hint="eastAsia" w:ascii="微软雅黑" w:hAnsi="微软雅黑" w:eastAsia="微软雅黑" w:cs="微软雅黑"/>
          <w:b/>
          <w:bCs/>
          <w:color w:val="auto"/>
          <w:sz w:val="52"/>
          <w:szCs w:val="52"/>
          <w:lang w:val="en-US" w:eastAsia="zh-CN"/>
        </w:rPr>
        <w:t>办案（业务）经费</w:t>
      </w:r>
      <w:r>
        <w:rPr>
          <w:rFonts w:hint="eastAsia" w:ascii="微软雅黑" w:hAnsi="微软雅黑" w:eastAsia="微软雅黑" w:cs="微软雅黑"/>
          <w:b/>
          <w:bCs/>
          <w:color w:val="auto"/>
          <w:sz w:val="52"/>
          <w:szCs w:val="52"/>
        </w:rPr>
        <w:t>绩效评价报告</w:t>
      </w:r>
    </w:p>
    <w:p w14:paraId="1E644FB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3B4AFD6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3006319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2FFE6E3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5570BCBD">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12A66D9B">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25D966AC">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0179937F">
      <w:pPr>
        <w:keepNext w:val="0"/>
        <w:keepLines w:val="0"/>
        <w:pageBreakBefore w:val="0"/>
        <w:widowControl w:val="0"/>
        <w:kinsoku/>
        <w:wordWrap/>
        <w:overflowPunct/>
        <w:topLinePunct w:val="0"/>
        <w:autoSpaceDE/>
        <w:autoSpaceDN/>
        <w:bidi w:val="0"/>
        <w:adjustRightInd/>
        <w:snapToGrid/>
        <w:ind w:firstLine="0" w:firstLineChars="0"/>
        <w:jc w:val="center"/>
        <w:textAlignment w:val="auto"/>
      </w:pPr>
    </w:p>
    <w:p w14:paraId="257963BA">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5BA5130B">
      <w:pPr>
        <w:pStyle w:val="8"/>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仿宋_GB2312"/>
          <w:color w:val="auto"/>
          <w:sz w:val="28"/>
          <w:szCs w:val="28"/>
        </w:rPr>
      </w:pPr>
    </w:p>
    <w:p w14:paraId="70D7A5FA">
      <w:pPr>
        <w:pStyle w:val="8"/>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Times New Roman"/>
          <w:color w:val="auto"/>
          <w:sz w:val="32"/>
          <w:szCs w:val="32"/>
          <w:u w:val="single"/>
        </w:rPr>
      </w:pPr>
      <w:r>
        <w:rPr>
          <w:rFonts w:ascii="黑体" w:hAnsi="黑体" w:eastAsia="黑体" w:cs="Times New Roman"/>
          <w:color w:val="auto"/>
          <w:sz w:val="32"/>
          <w:szCs w:val="32"/>
        </w:rPr>
        <w:t>项目名称</w:t>
      </w:r>
      <w:r>
        <w:rPr>
          <w:rFonts w:hint="eastAsia" w:ascii="黑体" w:hAnsi="黑体" w:eastAsia="黑体" w:cs="Times New Roman"/>
          <w:color w:val="auto"/>
          <w:sz w:val="32"/>
          <w:szCs w:val="32"/>
          <w:lang w:eastAsia="zh-CN"/>
        </w:rPr>
        <w:t>：</w:t>
      </w:r>
      <w:r>
        <w:rPr>
          <w:rFonts w:hint="eastAsia" w:ascii="黑体" w:hAnsi="黑体" w:eastAsia="黑体" w:cs="Times New Roman"/>
          <w:color w:val="auto"/>
          <w:sz w:val="32"/>
          <w:szCs w:val="32"/>
          <w:u w:val="single"/>
          <w:lang w:val="en-US" w:eastAsia="zh-CN"/>
        </w:rPr>
        <w:t>办案（业务）经费</w:t>
      </w:r>
    </w:p>
    <w:p w14:paraId="69B66AA6">
      <w:pPr>
        <w:pStyle w:val="8"/>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黑体" w:hAnsi="黑体" w:eastAsia="黑体" w:cs="Times New Roman"/>
          <w:color w:val="auto"/>
          <w:sz w:val="32"/>
          <w:szCs w:val="32"/>
          <w:u w:val="single"/>
          <w:lang w:val="en-US" w:eastAsia="zh-CN"/>
        </w:rPr>
      </w:pPr>
      <w:r>
        <w:rPr>
          <w:rFonts w:hint="eastAsia" w:ascii="黑体" w:hAnsi="黑体" w:eastAsia="黑体"/>
          <w:color w:val="auto"/>
          <w:sz w:val="32"/>
          <w:szCs w:val="32"/>
        </w:rPr>
        <w:t>委托单位</w:t>
      </w:r>
      <w:r>
        <w:rPr>
          <w:rFonts w:hint="eastAsia" w:ascii="黑体" w:hAnsi="黑体" w:eastAsia="黑体"/>
          <w:color w:val="auto"/>
          <w:sz w:val="32"/>
          <w:szCs w:val="32"/>
          <w:lang w:eastAsia="zh-CN"/>
        </w:rPr>
        <w:t>：</w:t>
      </w:r>
      <w:r>
        <w:rPr>
          <w:rFonts w:hint="eastAsia" w:ascii="黑体" w:hAnsi="黑体" w:eastAsia="黑体" w:cs="Times New Roman"/>
          <w:color w:val="auto"/>
          <w:sz w:val="32"/>
          <w:szCs w:val="32"/>
          <w:u w:val="single"/>
          <w:lang w:val="en-US" w:eastAsia="zh-CN"/>
        </w:rPr>
        <w:t>呼和浩特市赛罕区人民检察院</w:t>
      </w:r>
    </w:p>
    <w:p w14:paraId="0D8E2F9A">
      <w:pPr>
        <w:pStyle w:val="8"/>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olor w:val="auto"/>
          <w:sz w:val="32"/>
          <w:szCs w:val="32"/>
          <w:u w:val="single"/>
        </w:rPr>
      </w:pPr>
      <w:r>
        <w:rPr>
          <w:rFonts w:ascii="黑体" w:hAnsi="黑体" w:eastAsia="黑体"/>
          <w:color w:val="auto"/>
          <w:sz w:val="32"/>
          <w:szCs w:val="32"/>
        </w:rPr>
        <w:t>评价</w:t>
      </w:r>
      <w:r>
        <w:rPr>
          <w:rFonts w:hint="eastAsia" w:ascii="黑体" w:hAnsi="黑体" w:eastAsia="黑体"/>
          <w:color w:val="auto"/>
          <w:sz w:val="32"/>
          <w:szCs w:val="32"/>
        </w:rPr>
        <w:t>单位</w:t>
      </w:r>
      <w:r>
        <w:rPr>
          <w:rFonts w:hint="eastAsia" w:ascii="黑体" w:hAnsi="黑体" w:eastAsia="黑体"/>
          <w:color w:val="auto"/>
          <w:sz w:val="32"/>
          <w:szCs w:val="32"/>
          <w:lang w:eastAsia="zh-CN"/>
        </w:rPr>
        <w:t>：</w:t>
      </w:r>
      <w:r>
        <w:rPr>
          <w:rFonts w:hint="eastAsia" w:ascii="黑体" w:hAnsi="黑体" w:eastAsia="黑体"/>
          <w:color w:val="auto"/>
          <w:sz w:val="32"/>
          <w:szCs w:val="32"/>
          <w:u w:val="single"/>
          <w:lang w:eastAsia="zh-CN"/>
        </w:rPr>
        <w:t>内蒙古兰威信息咨询有限公司</w:t>
      </w:r>
    </w:p>
    <w:p w14:paraId="3C520390">
      <w:pPr>
        <w:pStyle w:val="8"/>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olor w:val="auto"/>
          <w:sz w:val="32"/>
          <w:szCs w:val="32"/>
          <w:u w:val="single"/>
        </w:rPr>
      </w:pPr>
      <w:r>
        <w:rPr>
          <w:rFonts w:hint="eastAsia" w:ascii="黑体" w:hAnsi="黑体" w:eastAsia="黑体"/>
          <w:color w:val="auto"/>
          <w:sz w:val="32"/>
          <w:szCs w:val="32"/>
        </w:rPr>
        <w:t>报告日期</w:t>
      </w:r>
      <w:r>
        <w:rPr>
          <w:rFonts w:hint="eastAsia" w:ascii="黑体" w:hAnsi="黑体" w:eastAsia="黑体"/>
          <w:color w:val="auto"/>
          <w:sz w:val="32"/>
          <w:szCs w:val="32"/>
          <w:lang w:eastAsia="zh-CN"/>
        </w:rPr>
        <w:t>：</w:t>
      </w:r>
      <w:r>
        <w:rPr>
          <w:rFonts w:hint="eastAsia" w:ascii="黑体" w:hAnsi="黑体" w:eastAsia="黑体"/>
          <w:color w:val="auto"/>
          <w:sz w:val="32"/>
          <w:szCs w:val="32"/>
          <w:u w:val="single"/>
          <w:lang w:eastAsia="zh-CN"/>
        </w:rPr>
        <w:t>202</w:t>
      </w:r>
      <w:r>
        <w:rPr>
          <w:rFonts w:hint="eastAsia" w:ascii="黑体" w:hAnsi="黑体" w:eastAsia="黑体"/>
          <w:color w:val="auto"/>
          <w:sz w:val="32"/>
          <w:szCs w:val="32"/>
          <w:u w:val="single"/>
          <w:lang w:val="en-US" w:eastAsia="zh-CN"/>
        </w:rPr>
        <w:t>5</w:t>
      </w:r>
      <w:r>
        <w:rPr>
          <w:rFonts w:hint="eastAsia" w:ascii="黑体" w:hAnsi="黑体" w:eastAsia="黑体"/>
          <w:color w:val="auto"/>
          <w:sz w:val="32"/>
          <w:szCs w:val="32"/>
          <w:u w:val="single"/>
          <w:lang w:eastAsia="zh-CN"/>
        </w:rPr>
        <w:t>年</w:t>
      </w:r>
      <w:r>
        <w:rPr>
          <w:rFonts w:hint="eastAsia" w:ascii="黑体" w:hAnsi="黑体" w:eastAsia="黑体"/>
          <w:color w:val="auto"/>
          <w:sz w:val="32"/>
          <w:szCs w:val="32"/>
          <w:u w:val="single"/>
          <w:lang w:val="en-US" w:eastAsia="zh-CN"/>
        </w:rPr>
        <w:t>2</w:t>
      </w:r>
      <w:r>
        <w:rPr>
          <w:rFonts w:hint="eastAsia" w:ascii="黑体" w:hAnsi="黑体" w:eastAsia="黑体"/>
          <w:color w:val="auto"/>
          <w:sz w:val="32"/>
          <w:szCs w:val="32"/>
          <w:u w:val="single"/>
          <w:lang w:eastAsia="zh-CN"/>
        </w:rPr>
        <w:t>月</w:t>
      </w:r>
      <w:r>
        <w:rPr>
          <w:rFonts w:hint="eastAsia" w:ascii="黑体" w:hAnsi="黑体" w:eastAsia="黑体"/>
          <w:color w:val="auto"/>
          <w:sz w:val="32"/>
          <w:szCs w:val="32"/>
          <w:u w:val="single"/>
          <w:lang w:val="en-US" w:eastAsia="zh-CN"/>
        </w:rPr>
        <w:t>20</w:t>
      </w:r>
      <w:r>
        <w:rPr>
          <w:rFonts w:hint="eastAsia" w:ascii="黑体" w:hAnsi="黑体" w:eastAsia="黑体"/>
          <w:color w:val="auto"/>
          <w:sz w:val="32"/>
          <w:szCs w:val="32"/>
          <w:u w:val="single"/>
          <w:lang w:eastAsia="zh-CN"/>
        </w:rPr>
        <w:t>日</w:t>
      </w:r>
    </w:p>
    <w:p w14:paraId="34EF03A9">
      <w:pPr>
        <w:pStyle w:val="7"/>
        <w:spacing w:line="360" w:lineRule="auto"/>
        <w:ind w:firstLine="280" w:firstLineChars="100"/>
        <w:rPr>
          <w:rFonts w:ascii="仿宋" w:hAnsi="仿宋" w:eastAsia="仿宋" w:cs="仿宋"/>
          <w:color w:val="auto"/>
          <w:sz w:val="28"/>
          <w:szCs w:val="28"/>
        </w:rPr>
      </w:pPr>
    </w:p>
    <w:p w14:paraId="431AAA03">
      <w:pPr>
        <w:spacing w:before="120" w:beforeLines="50" w:after="240" w:afterLines="100" w:line="360" w:lineRule="auto"/>
        <w:rPr>
          <w:rFonts w:ascii="黑体" w:hAnsi="黑体" w:eastAsia="黑体" w:cs="黑体"/>
          <w:color w:val="auto"/>
          <w:sz w:val="32"/>
          <w:szCs w:val="32"/>
        </w:rPr>
      </w:pPr>
    </w:p>
    <w:p w14:paraId="77B7337D">
      <w:pPr>
        <w:rPr>
          <w:rFonts w:hint="eastAsia" w:ascii="仿宋" w:hAnsi="仿宋" w:eastAsia="仿宋" w:cs="仿宋"/>
          <w:b/>
          <w:bCs/>
          <w:color w:val="auto"/>
          <w:szCs w:val="30"/>
        </w:rPr>
      </w:pPr>
      <w:r>
        <w:rPr>
          <w:rFonts w:hint="eastAsia" w:ascii="仿宋" w:hAnsi="仿宋" w:eastAsia="仿宋" w:cs="仿宋"/>
          <w:b/>
          <w:bCs/>
          <w:color w:val="auto"/>
          <w:szCs w:val="30"/>
        </w:rPr>
        <w:br w:type="page"/>
      </w:r>
    </w:p>
    <w:p w14:paraId="3C75D964">
      <w:pPr>
        <w:jc w:val="center"/>
        <w:rPr>
          <w:rFonts w:hint="eastAsia" w:ascii="楷体" w:hAnsi="楷体" w:eastAsia="楷体" w:cs="楷体"/>
          <w:b/>
          <w:bCs/>
          <w:color w:val="auto"/>
          <w:sz w:val="32"/>
          <w:szCs w:val="32"/>
        </w:rPr>
      </w:pPr>
      <w:r>
        <w:rPr>
          <w:rFonts w:hint="eastAsia" w:ascii="楷体" w:hAnsi="楷体" w:eastAsia="楷体" w:cs="楷体"/>
          <w:b/>
          <w:bCs/>
          <w:color w:val="auto"/>
          <w:sz w:val="32"/>
          <w:szCs w:val="32"/>
        </w:rPr>
        <w:t>目录</w:t>
      </w:r>
    </w:p>
    <w:sdt>
      <w:sdtPr>
        <w:rPr>
          <w:rFonts w:hint="eastAsia" w:ascii="仿宋" w:hAnsi="仿宋" w:eastAsia="仿宋" w:cs="仿宋"/>
          <w:color w:val="auto"/>
          <w:sz w:val="28"/>
          <w:szCs w:val="28"/>
        </w:rPr>
        <w:id w:val="147466861"/>
      </w:sdtPr>
      <w:sdtEndPr>
        <w:rPr>
          <w:rFonts w:hint="eastAsia" w:ascii="仿宋" w:hAnsi="仿宋" w:eastAsia="仿宋" w:cs="仿宋"/>
          <w:color w:val="auto"/>
          <w:kern w:val="0"/>
          <w:sz w:val="28"/>
          <w:szCs w:val="28"/>
        </w:rPr>
      </w:sdtEndPr>
      <w:sdtContent>
        <w:p w14:paraId="5508B3C0">
          <w:pPr>
            <w:spacing w:line="440" w:lineRule="exact"/>
            <w:jc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TOC \o "1-2" \h \u </w:instrText>
          </w:r>
          <w:r>
            <w:rPr>
              <w:rFonts w:hint="eastAsia" w:ascii="仿宋" w:hAnsi="仿宋" w:eastAsia="仿宋" w:cs="仿宋"/>
              <w:color w:val="auto"/>
              <w:sz w:val="28"/>
              <w:szCs w:val="28"/>
            </w:rPr>
            <w:fldChar w:fldCharType="separate"/>
          </w:r>
        </w:p>
        <w:p w14:paraId="10E09469">
          <w:pPr>
            <w:pStyle w:val="14"/>
            <w:tabs>
              <w:tab w:val="right" w:leader="dot" w:pos="8306"/>
            </w:tabs>
            <w:rPr>
              <w:rFonts w:hint="eastAsia" w:ascii="仿宋" w:hAnsi="仿宋" w:eastAsia="仿宋" w:cs="仿宋"/>
              <w:color w:val="auto"/>
              <w:sz w:val="28"/>
              <w:szCs w:val="28"/>
            </w:rPr>
          </w:pPr>
          <w:bookmarkStart w:id="90" w:name="_GoBack"/>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_Toc848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一、基本情况</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_Toc848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4AA24416">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_Toc25579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（一）项目概况</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_Toc25579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255A86B0">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_Toc24491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lang w:eastAsia="zh-CN"/>
            </w:rPr>
            <w:t>（二）</w:t>
          </w:r>
          <w:r>
            <w:rPr>
              <w:rFonts w:hint="eastAsia" w:ascii="仿宋" w:hAnsi="仿宋" w:eastAsia="仿宋" w:cs="仿宋"/>
              <w:color w:val="auto"/>
              <w:sz w:val="28"/>
              <w:szCs w:val="28"/>
            </w:rPr>
            <w:t>项目绩效目标</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_Toc24491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3</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4C4B65B8">
          <w:pPr>
            <w:pStyle w:val="14"/>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_Toc26148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二、绩效评价工作开展情况</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_Toc26148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4</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0F038CC4">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_Toc11834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（一）绩效评价目的、对象和范围</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_Toc11834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4</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7650577F">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_Toc10599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（二）绩效评价原则、评价指标体系、评价方法、评价标准</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_Toc10599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5</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6221A13B">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_Toc19398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highlight w:val="none"/>
            </w:rPr>
            <w:t>（三）绩效评价工作过程</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_Toc19398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8</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6558397F">
          <w:pPr>
            <w:pStyle w:val="14"/>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_Toc15973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综合评价情况及评价结论</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_Toc15973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3B9C0F56">
          <w:pPr>
            <w:pStyle w:val="14"/>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_Toc22787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四、绩效评价指标分析</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_Toc22787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285FA64D">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_Toc29350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（一）项目决策情况</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_Toc29350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3D1CC2FE">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_Toc26229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（二）项目过程情况</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_Toc26229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13</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7ABCE96B">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_Toc4433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（三）项目产出情况</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_Toc4433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14</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6B572CAD">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_Toc25744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（四）项目效益情况</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_Toc25744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15</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52D7D128">
          <w:pPr>
            <w:pStyle w:val="14"/>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_Toc31566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五、主要经验及做法、存在的问题及原因分析</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_Toc31566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16</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025BC0C4">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_Toc8663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（一）主要经验及做法</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_Toc8663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16</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5F452255">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_Toc22879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（二）存在的问题及原因分析</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_Toc22879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16</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14A54783">
          <w:pPr>
            <w:pStyle w:val="14"/>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_Toc12044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六、相关建议</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_Toc12044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17</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4A0A24E4">
          <w:pPr>
            <w:pStyle w:val="14"/>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_Toc38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lang w:val="en-US" w:eastAsia="zh-CN"/>
            </w:rPr>
            <w:t>七、其他需说明的问题</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_Toc38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17</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bookmarkEnd w:id="90"/>
        <w:p w14:paraId="2D96E408">
          <w:pPr>
            <w:spacing w:line="440" w:lineRule="exact"/>
            <w:jc w:val="center"/>
            <w:rPr>
              <w:rFonts w:ascii="仿宋" w:hAnsi="仿宋" w:eastAsia="仿宋" w:cs="仿宋"/>
              <w:color w:val="auto"/>
              <w:kern w:val="0"/>
              <w:sz w:val="28"/>
              <w:szCs w:val="28"/>
            </w:rPr>
          </w:pPr>
          <w:r>
            <w:rPr>
              <w:rFonts w:hint="eastAsia" w:ascii="仿宋" w:hAnsi="仿宋" w:eastAsia="仿宋" w:cs="仿宋"/>
              <w:color w:val="auto"/>
              <w:sz w:val="28"/>
              <w:szCs w:val="28"/>
            </w:rPr>
            <w:fldChar w:fldCharType="end"/>
          </w:r>
        </w:p>
      </w:sdtContent>
    </w:sdt>
    <w:p w14:paraId="754AE191">
      <w:pPr>
        <w:pStyle w:val="7"/>
        <w:ind w:firstLine="560"/>
        <w:rPr>
          <w:rFonts w:ascii="仿宋" w:hAnsi="仿宋" w:eastAsia="仿宋" w:cs="仿宋"/>
          <w:color w:val="auto"/>
          <w:sz w:val="28"/>
          <w:szCs w:val="28"/>
        </w:rPr>
        <w:sectPr>
          <w:footerReference r:id="rId5" w:type="default"/>
          <w:pgSz w:w="11906" w:h="16838"/>
          <w:pgMar w:top="1440" w:right="1800" w:bottom="1440" w:left="1800" w:header="851" w:footer="992" w:gutter="0"/>
          <w:cols w:space="425" w:num="1"/>
          <w:docGrid w:type="lines" w:linePitch="312" w:charSpace="0"/>
        </w:sectPr>
      </w:pPr>
    </w:p>
    <w:p w14:paraId="0FC57F77">
      <w:pPr>
        <w:snapToGrid w:val="0"/>
        <w:jc w:val="center"/>
        <w:rPr>
          <w:rFonts w:hint="eastAsia" w:ascii="微软雅黑" w:hAnsi="微软雅黑" w:eastAsia="微软雅黑" w:cs="微软雅黑"/>
          <w:b/>
          <w:bCs/>
          <w:color w:val="auto"/>
          <w:sz w:val="44"/>
          <w:szCs w:val="44"/>
          <w:lang w:val="en-US" w:eastAsia="zh-CN"/>
        </w:rPr>
      </w:pPr>
      <w:r>
        <w:rPr>
          <w:rFonts w:hint="eastAsia" w:ascii="微软雅黑" w:hAnsi="微软雅黑" w:eastAsia="微软雅黑" w:cs="微软雅黑"/>
          <w:b/>
          <w:bCs/>
          <w:color w:val="auto"/>
          <w:sz w:val="44"/>
          <w:szCs w:val="44"/>
          <w:lang w:val="en-US" w:eastAsia="zh-CN"/>
        </w:rPr>
        <w:t>办案（业务）经费绩效评价报告</w:t>
      </w:r>
    </w:p>
    <w:p w14:paraId="293EC8E5">
      <w:pPr>
        <w:pStyle w:val="8"/>
        <w:ind w:firstLine="480"/>
        <w:rPr>
          <w:color w:val="auto"/>
        </w:rPr>
      </w:pPr>
    </w:p>
    <w:p w14:paraId="4E986E3A">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sz w:val="32"/>
          <w:szCs w:val="32"/>
          <w:lang w:val="en-US" w:eastAsia="zh-CN"/>
        </w:rPr>
        <w:t>为贯彻落实《中共中央</w:t>
      </w:r>
      <w:r>
        <w:rPr>
          <w:rFonts w:hint="eastAsia" w:ascii="仿宋" w:hAnsi="仿宋" w:cs="仿宋"/>
          <w:sz w:val="32"/>
          <w:szCs w:val="32"/>
          <w:lang w:val="en-US" w:eastAsia="zh-CN"/>
        </w:rPr>
        <w:t xml:space="preserve"> </w:t>
      </w:r>
      <w:r>
        <w:rPr>
          <w:rFonts w:hint="eastAsia" w:ascii="仿宋" w:hAnsi="仿宋" w:eastAsia="仿宋" w:cs="仿宋"/>
          <w:sz w:val="32"/>
          <w:szCs w:val="32"/>
          <w:lang w:val="en-US" w:eastAsia="zh-CN"/>
        </w:rPr>
        <w:t>国务院关于全面实施预算绩效管理的意见》（中发〔2018〕34 号）、加快全市预算绩效管理全方位、全过程、全覆盖管理体系的建成，根据《中华人民共和国预算法》《内蒙古自治区项目支出绩效评价管理办法》（内政办发〔2022〕5号）等文件的规定，呼和浩特市赛罕区人民检察院委托内蒙古兰威信息咨询有限公司对办案（业务）经费项目开展绩效评价，推进全面实施预算绩效管理，进一步强化支出责任，促进各部门科学、规范开展绩效评价工作，在数据资料收集、分析、现场访谈及实地核查的基础上形成本报告</w:t>
      </w:r>
      <w:r>
        <w:rPr>
          <w:rFonts w:hint="eastAsia" w:ascii="仿宋" w:hAnsi="仿宋" w:eastAsia="仿宋" w:cs="仿宋"/>
          <w:color w:val="auto"/>
          <w:sz w:val="32"/>
          <w:szCs w:val="32"/>
          <w:lang w:val="en-US" w:eastAsia="zh-CN"/>
        </w:rPr>
        <w:t>。</w:t>
      </w:r>
    </w:p>
    <w:p w14:paraId="7972DAD3">
      <w:pPr>
        <w:pStyle w:val="2"/>
        <w:pageBreakBefore w:val="0"/>
        <w:widowControl w:val="0"/>
        <w:kinsoku/>
        <w:wordWrap/>
        <w:overflowPunct/>
        <w:topLinePunct w:val="0"/>
        <w:autoSpaceDE/>
        <w:autoSpaceDN/>
        <w:bidi w:val="0"/>
        <w:adjustRightInd/>
        <w:textAlignment w:val="auto"/>
        <w:rPr>
          <w:color w:val="auto"/>
          <w:sz w:val="32"/>
          <w:szCs w:val="32"/>
        </w:rPr>
      </w:pPr>
      <w:bookmarkStart w:id="0" w:name="_Toc848"/>
      <w:r>
        <w:rPr>
          <w:color w:val="auto"/>
        </w:rPr>
        <w:t>一、基本情况</w:t>
      </w:r>
      <w:bookmarkEnd w:id="0"/>
    </w:p>
    <w:p w14:paraId="44C419D2">
      <w:pPr>
        <w:pStyle w:val="3"/>
        <w:pageBreakBefore w:val="0"/>
        <w:widowControl w:val="0"/>
        <w:kinsoku/>
        <w:wordWrap/>
        <w:overflowPunct/>
        <w:topLinePunct w:val="0"/>
        <w:autoSpaceDE/>
        <w:autoSpaceDN/>
        <w:bidi w:val="0"/>
        <w:adjustRightInd/>
        <w:ind w:firstLine="643"/>
        <w:textAlignment w:val="auto"/>
        <w:rPr>
          <w:rFonts w:hint="eastAsia"/>
          <w:color w:val="auto"/>
          <w:sz w:val="32"/>
        </w:rPr>
      </w:pPr>
      <w:bookmarkStart w:id="1" w:name="_Toc25579"/>
      <w:r>
        <w:rPr>
          <w:rFonts w:hint="eastAsia"/>
          <w:color w:val="auto"/>
          <w:sz w:val="32"/>
        </w:rPr>
        <w:t>（一）项目概况</w:t>
      </w:r>
      <w:bookmarkEnd w:id="1"/>
    </w:p>
    <w:p w14:paraId="694C57AC">
      <w:pPr>
        <w:pStyle w:val="4"/>
        <w:bidi w:val="0"/>
        <w:rPr>
          <w:rFonts w:hint="default"/>
          <w:color w:val="auto"/>
          <w:lang w:val="en-US" w:eastAsia="zh-CN"/>
        </w:rPr>
      </w:pPr>
      <w:r>
        <w:rPr>
          <w:rFonts w:hint="eastAsia"/>
          <w:color w:val="auto"/>
          <w:lang w:val="en-US" w:eastAsia="zh-CN"/>
        </w:rPr>
        <w:t>1.项目背景</w:t>
      </w:r>
    </w:p>
    <w:p w14:paraId="4EA2B81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lang w:val="en-US" w:eastAsia="zh-CN"/>
        </w:rPr>
        <w:t>赛罕区人民检察院贯彻党中央关于检察院法律监督工作的方针政策，落实自治区相关决策部署，在履行职责过程中坚持和加强对检察院工作的集中统一领导。保障检察院正常开展各项工作，</w:t>
      </w:r>
      <w:r>
        <w:rPr>
          <w:rFonts w:hint="eastAsia" w:ascii="仿宋" w:hAnsi="仿宋" w:eastAsia="仿宋" w:cs="仿宋"/>
          <w:color w:val="auto"/>
          <w:sz w:val="32"/>
          <w:szCs w:val="32"/>
          <w:highlight w:val="none"/>
          <w:lang w:val="en-US" w:eastAsia="zh-CN"/>
        </w:rPr>
        <w:t>充分发挥检察院的职能职责，</w:t>
      </w:r>
      <w:r>
        <w:rPr>
          <w:rFonts w:hint="eastAsia" w:ascii="仿宋" w:hAnsi="仿宋" w:eastAsia="仿宋" w:cs="仿宋"/>
          <w:color w:val="auto"/>
          <w:sz w:val="32"/>
          <w:szCs w:val="32"/>
          <w:lang w:val="en-US" w:eastAsia="zh-CN"/>
        </w:rPr>
        <w:t>赛罕区人民检察院</w:t>
      </w:r>
      <w:r>
        <w:rPr>
          <w:rFonts w:hint="eastAsia" w:ascii="仿宋" w:hAnsi="仿宋" w:eastAsia="仿宋" w:cs="仿宋"/>
          <w:color w:val="auto"/>
          <w:sz w:val="32"/>
          <w:szCs w:val="32"/>
          <w:highlight w:val="none"/>
          <w:lang w:val="en-US" w:eastAsia="zh-CN"/>
        </w:rPr>
        <w:t>设立了办案（业务）经费项目。</w:t>
      </w:r>
    </w:p>
    <w:p w14:paraId="3536C9F1">
      <w:pPr>
        <w:pStyle w:val="4"/>
        <w:bidi w:val="0"/>
        <w:rPr>
          <w:rFonts w:hint="eastAsia"/>
          <w:color w:val="auto"/>
          <w:lang w:val="en-US" w:eastAsia="zh-CN"/>
        </w:rPr>
      </w:pPr>
      <w:r>
        <w:rPr>
          <w:rFonts w:hint="eastAsia"/>
          <w:color w:val="auto"/>
          <w:lang w:val="en-US" w:eastAsia="zh-CN"/>
        </w:rPr>
        <w:t>2.主要内容及实施情况</w:t>
      </w:r>
    </w:p>
    <w:p w14:paraId="606D20C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（1）实施主体</w:t>
      </w:r>
    </w:p>
    <w:p w14:paraId="77BB1CB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实施主体为</w:t>
      </w:r>
      <w:r>
        <w:rPr>
          <w:rFonts w:hint="eastAsia" w:ascii="仿宋" w:hAnsi="仿宋" w:eastAsia="仿宋" w:cs="仿宋"/>
          <w:color w:val="auto"/>
          <w:sz w:val="32"/>
          <w:szCs w:val="32"/>
          <w:lang w:val="en-US" w:eastAsia="zh-CN"/>
        </w:rPr>
        <w:t>呼和浩特市赛罕区人民检察院</w:t>
      </w:r>
      <w:r>
        <w:rPr>
          <w:rFonts w:hint="eastAsia" w:ascii="仿宋" w:hAnsi="仿宋" w:eastAsia="仿宋" w:cs="仿宋"/>
          <w:color w:val="auto"/>
          <w:sz w:val="32"/>
          <w:szCs w:val="32"/>
          <w:highlight w:val="none"/>
          <w:lang w:val="en-US" w:eastAsia="zh-CN"/>
        </w:rPr>
        <w:t>。</w:t>
      </w:r>
    </w:p>
    <w:p w14:paraId="661F89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（2）主要内容</w:t>
      </w:r>
    </w:p>
    <w:p w14:paraId="0C0DEA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2024年，</w:t>
      </w:r>
      <w:r>
        <w:rPr>
          <w:rFonts w:hint="eastAsia" w:ascii="仿宋" w:hAnsi="仿宋" w:eastAsia="仿宋" w:cs="仿宋"/>
          <w:color w:val="auto"/>
          <w:sz w:val="32"/>
          <w:szCs w:val="32"/>
          <w:lang w:val="en-US" w:eastAsia="zh-CN"/>
        </w:rPr>
        <w:t>呼和浩特市赛罕区人民检察院办案（业务）经费项目主要内容有：</w:t>
      </w:r>
    </w:p>
    <w:p w14:paraId="24FA67DB">
      <w:pPr>
        <w:bidi w:val="0"/>
        <w:rPr>
          <w:rFonts w:hint="eastAsia"/>
          <w:lang w:val="en-US" w:eastAsia="zh-CN"/>
        </w:rPr>
      </w:pPr>
      <w:r>
        <w:rPr>
          <w:rFonts w:hint="eastAsia"/>
          <w:lang w:val="en-US" w:eastAsia="zh-CN"/>
        </w:rPr>
        <w:t>1.保障办案业务工作的正常开展，提高案件结案率，降低办案成本，提高经济效益和社会效益，以及提高群众满意度</w:t>
      </w:r>
      <w:r>
        <w:t>。</w:t>
      </w:r>
    </w:p>
    <w:p w14:paraId="7348FC1C">
      <w:pPr>
        <w:bidi w:val="0"/>
        <w:rPr>
          <w:rFonts w:hint="eastAsia"/>
          <w:lang w:val="en-US" w:eastAsia="zh-CN"/>
        </w:rPr>
      </w:pPr>
      <w:r>
        <w:rPr>
          <w:rFonts w:hint="eastAsia"/>
          <w:lang w:val="en-US" w:eastAsia="zh-CN"/>
        </w:rPr>
        <w:t>2.建立具有检察院职业特点的检察院人员管理制度和职业保障机制。</w:t>
      </w:r>
    </w:p>
    <w:p w14:paraId="6ABAC3FF">
      <w:pPr>
        <w:bidi w:val="0"/>
        <w:rPr>
          <w:rFonts w:hint="eastAsia"/>
          <w:lang w:val="en-US" w:eastAsia="zh-CN"/>
        </w:rPr>
      </w:pPr>
      <w:r>
        <w:rPr>
          <w:rFonts w:hint="eastAsia"/>
          <w:lang w:val="en-US" w:eastAsia="zh-CN"/>
        </w:rPr>
        <w:t>3.更好地履行法律监督职能，促进社会公正和法治建设。‌</w:t>
      </w:r>
    </w:p>
    <w:p w14:paraId="2D42CFB1">
      <w:pPr>
        <w:bidi w:val="0"/>
        <w:rPr>
          <w:rFonts w:hint="eastAsia"/>
          <w:lang w:val="en-US" w:eastAsia="zh-CN"/>
        </w:rPr>
      </w:pPr>
      <w:r>
        <w:rPr>
          <w:rFonts w:hint="eastAsia"/>
          <w:lang w:val="en-US" w:eastAsia="zh-CN"/>
        </w:rPr>
        <w:t>（3）实施情况</w:t>
      </w:r>
    </w:p>
    <w:p w14:paraId="4894CA72">
      <w:pPr>
        <w:bidi w:val="0"/>
      </w:pPr>
      <w:r>
        <w:t>保障</w:t>
      </w:r>
      <w:r>
        <w:rPr>
          <w:rFonts w:hint="eastAsia"/>
          <w:lang w:eastAsia="zh-CN"/>
        </w:rPr>
        <w:t>呼和浩特市赛罕区人民检察院</w:t>
      </w:r>
      <w:r>
        <w:t>办案业务工作的正常开展，补充</w:t>
      </w:r>
      <w:r>
        <w:rPr>
          <w:rFonts w:hint="eastAsia"/>
          <w:lang w:eastAsia="zh-CN"/>
        </w:rPr>
        <w:t>了我院</w:t>
      </w:r>
      <w:r>
        <w:t>公用经费</w:t>
      </w:r>
      <w:r>
        <w:rPr>
          <w:rFonts w:hint="eastAsia"/>
          <w:lang w:eastAsia="zh-CN"/>
        </w:rPr>
        <w:t>支出</w:t>
      </w:r>
      <w:r>
        <w:t>，根据年度</w:t>
      </w:r>
      <w:r>
        <w:rPr>
          <w:rFonts w:hint="eastAsia"/>
          <w:lang w:eastAsia="zh-CN"/>
        </w:rPr>
        <w:t>我院的工作计划及工作要求，</w:t>
      </w:r>
      <w:r>
        <w:rPr>
          <w:rFonts w:hint="eastAsia"/>
        </w:rPr>
        <w:t>顺利完成</w:t>
      </w:r>
      <w:r>
        <w:rPr>
          <w:rFonts w:hint="eastAsia"/>
          <w:lang w:eastAsia="zh-CN"/>
        </w:rPr>
        <w:t>了</w:t>
      </w:r>
      <w:r>
        <w:rPr>
          <w:rFonts w:hint="eastAsia"/>
        </w:rPr>
        <w:t>检察常规办案与公开听证</w:t>
      </w:r>
      <w:r>
        <w:rPr>
          <w:rFonts w:hint="eastAsia"/>
          <w:lang w:eastAsia="zh-CN"/>
        </w:rPr>
        <w:t>工作及侦查指挥中心建设</w:t>
      </w:r>
      <w:r>
        <w:rPr>
          <w:rFonts w:hint="eastAsia"/>
        </w:rPr>
        <w:t>等重点项目，</w:t>
      </w:r>
      <w:r>
        <w:rPr>
          <w:rFonts w:hint="eastAsia"/>
          <w:lang w:eastAsia="zh-CN"/>
        </w:rPr>
        <w:t>通过开展该项目大幅</w:t>
      </w:r>
      <w:r>
        <w:rPr>
          <w:rFonts w:hint="eastAsia"/>
        </w:rPr>
        <w:t>提升了我院</w:t>
      </w:r>
      <w:r>
        <w:rPr>
          <w:rFonts w:hint="eastAsia"/>
          <w:lang w:eastAsia="zh-CN"/>
        </w:rPr>
        <w:t>的</w:t>
      </w:r>
      <w:r>
        <w:rPr>
          <w:rFonts w:hint="eastAsia"/>
        </w:rPr>
        <w:t>办案</w:t>
      </w:r>
      <w:r>
        <w:rPr>
          <w:rFonts w:hint="eastAsia"/>
          <w:lang w:eastAsia="zh-CN"/>
        </w:rPr>
        <w:t>效率，充分履行了我院作为法律监督机关的职责</w:t>
      </w:r>
      <w:r>
        <w:t>。</w:t>
      </w:r>
    </w:p>
    <w:p w14:paraId="70365506">
      <w:pPr>
        <w:bidi w:val="0"/>
        <w:rPr>
          <w:rFonts w:hint="eastAsia"/>
          <w:lang w:val="en-US" w:eastAsia="zh-CN"/>
        </w:rPr>
      </w:pPr>
      <w:r>
        <w:rPr>
          <w:rFonts w:hint="eastAsia"/>
          <w:lang w:val="en-US" w:eastAsia="zh-CN"/>
        </w:rPr>
        <w:t>（4）实施时间</w:t>
      </w:r>
    </w:p>
    <w:p w14:paraId="11474394">
      <w:pPr>
        <w:bidi w:val="0"/>
        <w:rPr>
          <w:rFonts w:hint="default"/>
          <w:lang w:val="en-US" w:eastAsia="zh-CN"/>
        </w:rPr>
      </w:pPr>
      <w:r>
        <w:rPr>
          <w:rFonts w:hint="eastAsia"/>
          <w:lang w:val="en-US" w:eastAsia="zh-CN"/>
        </w:rPr>
        <w:t>根据绩效目标申报表填报情况，呼和浩特市赛罕区人民检察院办案（业务）经费任务实施期限为2024年全年实施。</w:t>
      </w:r>
    </w:p>
    <w:p w14:paraId="29098100">
      <w:pPr>
        <w:pStyle w:val="4"/>
        <w:bidi w:val="0"/>
        <w:rPr>
          <w:rFonts w:hint="eastAsia"/>
          <w:color w:val="auto"/>
          <w:lang w:eastAsia="zh-CN"/>
        </w:rPr>
      </w:pPr>
      <w:r>
        <w:rPr>
          <w:rFonts w:hint="eastAsia"/>
          <w:color w:val="auto"/>
          <w:lang w:val="en-US" w:eastAsia="zh-CN"/>
        </w:rPr>
        <w:t>3.</w:t>
      </w:r>
      <w:r>
        <w:rPr>
          <w:rFonts w:hint="eastAsia"/>
          <w:color w:val="auto"/>
        </w:rPr>
        <w:t>资金投入和使用情况</w:t>
      </w:r>
    </w:p>
    <w:p w14:paraId="4AD5D38B">
      <w:pPr>
        <w:bidi w:val="0"/>
        <w:rPr>
          <w:rFonts w:hint="eastAsia"/>
          <w:lang w:val="en-US" w:eastAsia="zh-CN"/>
        </w:rPr>
      </w:pPr>
      <w:r>
        <w:rPr>
          <w:rFonts w:hint="eastAsia"/>
          <w:lang w:val="en-US" w:eastAsia="zh-CN"/>
        </w:rPr>
        <w:t>（1）资金构成</w:t>
      </w:r>
    </w:p>
    <w:p w14:paraId="40EA73AA">
      <w:pPr>
        <w:bidi w:val="0"/>
        <w:rPr>
          <w:rFonts w:hint="eastAsia"/>
          <w:lang w:val="en-US" w:eastAsia="zh-CN"/>
        </w:rPr>
      </w:pPr>
      <w:r>
        <w:rPr>
          <w:rFonts w:hint="eastAsia"/>
          <w:lang w:val="en-US" w:eastAsia="zh-CN"/>
        </w:rPr>
        <w:t>办案（业务）经费项目资金来源为自治区本级财政资金，资金共计523.78万元。</w:t>
      </w:r>
    </w:p>
    <w:p w14:paraId="22B8836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（2）资金投入</w:t>
      </w:r>
    </w:p>
    <w:p w14:paraId="4C7016B5">
      <w:pPr>
        <w:bidi w:val="0"/>
        <w:rPr>
          <w:rFonts w:hint="eastAsia"/>
          <w:lang w:eastAsia="zh-CN"/>
        </w:rPr>
      </w:pPr>
      <w:r>
        <w:rPr>
          <w:rFonts w:hint="eastAsia"/>
          <w:lang w:val="en-US" w:eastAsia="zh-CN"/>
        </w:rPr>
        <w:t>办案（业务）经费预算金额为523.78万元</w:t>
      </w:r>
      <w:r>
        <w:rPr>
          <w:rFonts w:hint="eastAsia"/>
        </w:rPr>
        <w:t>，</w:t>
      </w:r>
      <w:r>
        <w:rPr>
          <w:rFonts w:hint="eastAsia"/>
          <w:lang w:eastAsia="zh-CN"/>
        </w:rPr>
        <w:t>其中</w:t>
      </w:r>
      <w:r>
        <w:rPr>
          <w:rFonts w:hint="eastAsia"/>
          <w:lang w:val="en-US" w:eastAsia="zh-CN"/>
        </w:rPr>
        <w:t>财政拨款498.78万元</w:t>
      </w:r>
      <w:r>
        <w:rPr>
          <w:rFonts w:hint="eastAsia"/>
          <w:lang w:eastAsia="zh-CN"/>
        </w:rPr>
        <w:t>，其他资金</w:t>
      </w:r>
      <w:r>
        <w:rPr>
          <w:rFonts w:hint="eastAsia"/>
          <w:lang w:val="en-US" w:eastAsia="zh-CN"/>
        </w:rPr>
        <w:t>25万元，</w:t>
      </w:r>
      <w:r>
        <w:rPr>
          <w:rFonts w:hint="eastAsia"/>
        </w:rPr>
        <w:t>资金</w:t>
      </w:r>
      <w:r>
        <w:rPr>
          <w:rFonts w:hint="eastAsia"/>
          <w:lang w:val="en-US" w:eastAsia="zh-CN"/>
        </w:rPr>
        <w:t>到位率</w:t>
      </w:r>
      <w:r>
        <w:rPr>
          <w:rFonts w:hint="eastAsia"/>
        </w:rPr>
        <w:t>为</w:t>
      </w:r>
      <w:r>
        <w:rPr>
          <w:rFonts w:hint="eastAsia"/>
          <w:lang w:val="en-US" w:eastAsia="zh-CN"/>
        </w:rPr>
        <w:t>100</w:t>
      </w:r>
      <w:r>
        <w:rPr>
          <w:rFonts w:hint="eastAsia"/>
        </w:rPr>
        <w:t>%</w:t>
      </w:r>
      <w:r>
        <w:rPr>
          <w:rFonts w:hint="eastAsia"/>
          <w:lang w:eastAsia="zh-CN"/>
        </w:rPr>
        <w:t>。</w:t>
      </w:r>
    </w:p>
    <w:p w14:paraId="2291CDF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（3）资金使用</w:t>
      </w:r>
    </w:p>
    <w:p w14:paraId="0648F39D">
      <w:pPr>
        <w:bidi w:val="0"/>
        <w:rPr>
          <w:rFonts w:hint="eastAsia"/>
          <w:lang w:val="en-US" w:eastAsia="zh-CN"/>
        </w:rPr>
      </w:pPr>
      <w:r>
        <w:rPr>
          <w:rFonts w:hint="eastAsia"/>
          <w:lang w:val="en-US" w:eastAsia="zh-CN"/>
        </w:rPr>
        <w:t>通过核查相关支付凭证，</w:t>
      </w:r>
      <w:r>
        <w:rPr>
          <w:rFonts w:hint="eastAsia"/>
        </w:rPr>
        <w:t>截至</w:t>
      </w:r>
      <w:r>
        <w:rPr>
          <w:rFonts w:hint="eastAsia"/>
          <w:lang w:eastAsia="zh-CN"/>
        </w:rPr>
        <w:t>2024年</w:t>
      </w:r>
      <w:r>
        <w:rPr>
          <w:rFonts w:hint="eastAsia"/>
        </w:rPr>
        <w:t>12月底</w:t>
      </w:r>
      <w:r>
        <w:rPr>
          <w:rFonts w:hint="eastAsia"/>
          <w:lang w:val="en-US" w:eastAsia="zh-CN"/>
        </w:rPr>
        <w:t>，办案（业务）经费预算金额523.78万元，项目资金累计支出522.88万元，项目预算执行率为</w:t>
      </w:r>
      <w:r>
        <w:rPr>
          <w:rFonts w:hint="eastAsia" w:ascii="仿宋" w:hAnsi="仿宋" w:eastAsia="仿宋" w:cs="仿宋"/>
          <w:color w:val="auto"/>
          <w:sz w:val="32"/>
          <w:szCs w:val="32"/>
          <w:highlight w:val="none"/>
          <w:lang w:val="en-US" w:eastAsia="zh-CN"/>
        </w:rPr>
        <w:t>99.83</w:t>
      </w:r>
      <w:r>
        <w:rPr>
          <w:rFonts w:hint="eastAsia"/>
          <w:lang w:val="en-US" w:eastAsia="zh-CN"/>
        </w:rPr>
        <w:t>%。</w:t>
      </w:r>
    </w:p>
    <w:p w14:paraId="66EFB8EF">
      <w:pPr>
        <w:pStyle w:val="3"/>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color w:val="auto"/>
        </w:rPr>
      </w:pPr>
      <w:bookmarkStart w:id="2" w:name="_Toc24491"/>
      <w:r>
        <w:rPr>
          <w:rFonts w:hint="eastAsia"/>
          <w:color w:val="auto"/>
          <w:lang w:eastAsia="zh-CN"/>
        </w:rPr>
        <w:t>（二）</w:t>
      </w:r>
      <w:r>
        <w:rPr>
          <w:rFonts w:hint="eastAsia"/>
          <w:color w:val="auto"/>
        </w:rPr>
        <w:t>项目绩效目标</w:t>
      </w:r>
      <w:bookmarkEnd w:id="2"/>
    </w:p>
    <w:p w14:paraId="4AC220A9">
      <w:pPr>
        <w:pStyle w:val="4"/>
        <w:keepNext w:val="0"/>
        <w:keepLines w:val="0"/>
        <w:pageBreakBefore w:val="0"/>
        <w:widowControl w:val="0"/>
        <w:kinsoku/>
        <w:wordWrap/>
        <w:overflowPunct/>
        <w:topLinePunct w:val="0"/>
        <w:autoSpaceDE/>
        <w:autoSpaceDN/>
        <w:bidi w:val="0"/>
        <w:adjustRightInd/>
        <w:snapToGrid/>
        <w:textAlignment w:val="auto"/>
        <w:rPr>
          <w:rFonts w:hint="eastAsia"/>
          <w:color w:val="auto"/>
          <w:lang w:val="en-US" w:eastAsia="zh-CN"/>
        </w:rPr>
      </w:pPr>
      <w:r>
        <w:rPr>
          <w:rFonts w:hint="eastAsia"/>
          <w:color w:val="auto"/>
          <w:lang w:val="en-US" w:eastAsia="zh-CN"/>
        </w:rPr>
        <w:t>1.总体目标</w:t>
      </w:r>
    </w:p>
    <w:p w14:paraId="7C134E24">
      <w:pPr>
        <w:bidi w:val="0"/>
        <w:rPr>
          <w:rFonts w:hint="eastAsia"/>
          <w:lang w:val="en-US" w:eastAsia="zh-CN"/>
        </w:rPr>
      </w:pPr>
      <w:r>
        <w:rPr>
          <w:rFonts w:hint="eastAsia"/>
          <w:lang w:val="en-US" w:eastAsia="zh-CN"/>
        </w:rPr>
        <w:t>通过实施有效的办案业务费预算绩效管理，确保提高办案质量，坚持把维护社会大局稳定作为基本任务，把保障群众安居乐业作为根本目标，充分发挥检察职能。</w:t>
      </w:r>
    </w:p>
    <w:p w14:paraId="2E39EC5B">
      <w:pPr>
        <w:pStyle w:val="4"/>
        <w:bidi w:val="0"/>
        <w:rPr>
          <w:rFonts w:hint="eastAsia"/>
          <w:color w:val="auto"/>
          <w:lang w:val="en-US" w:eastAsia="zh-CN"/>
        </w:rPr>
      </w:pPr>
      <w:r>
        <w:rPr>
          <w:rFonts w:hint="eastAsia"/>
          <w:color w:val="auto"/>
          <w:lang w:val="en-US" w:eastAsia="zh-CN"/>
        </w:rPr>
        <w:t>2.阶段性目标</w:t>
      </w:r>
    </w:p>
    <w:p w14:paraId="1B1DB1A3">
      <w:pPr>
        <w:bidi w:val="0"/>
        <w:rPr>
          <w:rFonts w:hint="eastAsia" w:ascii="仿宋" w:hAnsi="仿宋" w:eastAsia="仿宋" w:cs="仿宋"/>
          <w:color w:val="auto"/>
          <w:szCs w:val="32"/>
          <w:highlight w:val="none"/>
          <w:lang w:val="en-US" w:eastAsia="zh-CN"/>
        </w:rPr>
      </w:pPr>
      <w:r>
        <w:rPr>
          <w:rFonts w:hint="eastAsia"/>
          <w:lang w:val="en-US" w:eastAsia="zh-CN"/>
        </w:rPr>
        <w:t>依法履行检察院各项职能，及时开展相关工作，更好的满足司法办案需求。</w:t>
      </w:r>
    </w:p>
    <w:p w14:paraId="5D186303">
      <w:pPr>
        <w:pStyle w:val="2"/>
        <w:bidi w:val="0"/>
        <w:rPr>
          <w:color w:val="auto"/>
        </w:rPr>
      </w:pPr>
      <w:bookmarkStart w:id="3" w:name="_Toc26148"/>
      <w:r>
        <w:rPr>
          <w:color w:val="auto"/>
        </w:rPr>
        <w:t>二、绩效评价工作开展情况</w:t>
      </w:r>
      <w:bookmarkEnd w:id="3"/>
    </w:p>
    <w:p w14:paraId="5EC2D0EC">
      <w:pPr>
        <w:pStyle w:val="3"/>
        <w:bidi w:val="0"/>
        <w:rPr>
          <w:color w:val="auto"/>
        </w:rPr>
      </w:pPr>
      <w:bookmarkStart w:id="4" w:name="_Toc11834"/>
      <w:r>
        <w:rPr>
          <w:color w:val="auto"/>
        </w:rPr>
        <w:t>（一）绩效评价目的、对象和范围</w:t>
      </w:r>
      <w:bookmarkEnd w:id="4"/>
    </w:p>
    <w:p w14:paraId="532680C7">
      <w:pPr>
        <w:pStyle w:val="4"/>
        <w:bidi w:val="0"/>
        <w:rPr>
          <w:rFonts w:hint="eastAsia"/>
          <w:color w:val="auto"/>
          <w:lang w:val="en-US" w:eastAsia="zh-CN"/>
        </w:rPr>
      </w:pPr>
      <w:bookmarkStart w:id="5" w:name="_Toc1123"/>
      <w:bookmarkStart w:id="6" w:name="_Toc12219"/>
      <w:bookmarkStart w:id="7" w:name="_Toc19992"/>
      <w:bookmarkStart w:id="8" w:name="_Toc30617"/>
      <w:bookmarkStart w:id="9" w:name="_Toc470"/>
      <w:r>
        <w:rPr>
          <w:rFonts w:hint="eastAsia"/>
          <w:color w:val="auto"/>
          <w:lang w:val="en-US" w:eastAsia="zh-CN"/>
        </w:rPr>
        <w:t>1.绩效评价目的</w:t>
      </w:r>
      <w:bookmarkEnd w:id="5"/>
      <w:bookmarkEnd w:id="6"/>
      <w:bookmarkEnd w:id="7"/>
      <w:bookmarkEnd w:id="8"/>
      <w:bookmarkEnd w:id="9"/>
    </w:p>
    <w:p w14:paraId="0CF08D39">
      <w:pPr>
        <w:bidi w:val="0"/>
        <w:rPr>
          <w:rFonts w:hint="eastAsia"/>
          <w:lang w:val="en-US" w:eastAsia="zh-CN"/>
        </w:rPr>
      </w:pPr>
      <w:bookmarkStart w:id="10" w:name="_Toc27216"/>
      <w:bookmarkStart w:id="11" w:name="_Toc2093"/>
      <w:bookmarkStart w:id="12" w:name="_Toc28223"/>
      <w:bookmarkStart w:id="13" w:name="_Toc29406"/>
      <w:bookmarkStart w:id="14" w:name="_Toc13020"/>
      <w:r>
        <w:rPr>
          <w:rFonts w:hint="eastAsia"/>
          <w:lang w:val="en-US" w:eastAsia="zh-CN"/>
        </w:rPr>
        <w:t>开展本次绩效评价主要有三个目的，一是通过绩效评价，了解办案（业务）经费项目的资金使用情况及执行效果，及时发现项目决策中存在的问题，对优化项目决策程序、调整完善项目内容和项目目标提出客观建议；二是及时发现项目执行中在相关配套制度制定、组织实施与资金管理中存在的问题和薄弱环节，有针对性地提出改进预算执行和项目管理的建议，促进赛罕区人民检察院总结经验、发现问题、改进工作，为赛罕区人民检察院科学决策、规范管理提供参考；三是就办案（业务）经费项目实施情况是否总体有效或阶段性有效做出判断，就项目整体实施与社会经济发展的契合度作出判断，从而为以后年度预算安排提供决策参考依据。</w:t>
      </w:r>
    </w:p>
    <w:p w14:paraId="4EEDA348">
      <w:pPr>
        <w:pStyle w:val="4"/>
        <w:bidi w:val="0"/>
        <w:rPr>
          <w:rFonts w:hint="default"/>
          <w:color w:val="auto"/>
          <w:lang w:val="en-US" w:eastAsia="zh-CN"/>
        </w:rPr>
      </w:pPr>
      <w:r>
        <w:rPr>
          <w:rFonts w:hint="eastAsia"/>
          <w:color w:val="auto"/>
          <w:lang w:val="en-US" w:eastAsia="zh-CN"/>
        </w:rPr>
        <w:t>2.绩效评价对象</w:t>
      </w:r>
      <w:bookmarkEnd w:id="10"/>
      <w:bookmarkEnd w:id="11"/>
      <w:bookmarkEnd w:id="12"/>
      <w:bookmarkEnd w:id="13"/>
      <w:bookmarkEnd w:id="14"/>
    </w:p>
    <w:p w14:paraId="53785EEC">
      <w:pPr>
        <w:bidi w:val="0"/>
        <w:rPr>
          <w:rFonts w:hint="eastAsia"/>
          <w:lang w:val="en-US" w:eastAsia="zh-CN"/>
        </w:rPr>
      </w:pPr>
      <w:bookmarkStart w:id="15" w:name="_Toc26968"/>
      <w:bookmarkStart w:id="16" w:name="_Toc5424"/>
      <w:bookmarkStart w:id="17" w:name="_Toc19141"/>
      <w:bookmarkStart w:id="18" w:name="_Toc13354"/>
      <w:bookmarkStart w:id="19" w:name="_Toc597"/>
      <w:r>
        <w:rPr>
          <w:rFonts w:hint="eastAsia"/>
          <w:lang w:val="en-US" w:eastAsia="zh-CN"/>
        </w:rPr>
        <w:t>本次评价对象为办案（业务）经费，涉及财政资金总额为523.78万元。</w:t>
      </w:r>
    </w:p>
    <w:p w14:paraId="5422C02A">
      <w:pPr>
        <w:pStyle w:val="4"/>
        <w:bidi w:val="0"/>
        <w:rPr>
          <w:rFonts w:hint="eastAsia"/>
          <w:color w:val="auto"/>
          <w:lang w:val="en-US" w:eastAsia="zh-CN"/>
        </w:rPr>
      </w:pPr>
      <w:r>
        <w:rPr>
          <w:rFonts w:hint="eastAsia"/>
          <w:color w:val="auto"/>
          <w:lang w:val="en-US" w:eastAsia="zh-CN"/>
        </w:rPr>
        <w:t>3.绩效评价范围</w:t>
      </w:r>
      <w:bookmarkEnd w:id="15"/>
      <w:bookmarkEnd w:id="16"/>
      <w:bookmarkEnd w:id="17"/>
      <w:bookmarkEnd w:id="18"/>
      <w:bookmarkEnd w:id="19"/>
    </w:p>
    <w:p w14:paraId="77C9D0E7">
      <w:pPr>
        <w:bidi w:val="0"/>
        <w:rPr>
          <w:rFonts w:hint="eastAsia"/>
          <w:lang w:val="en-US" w:eastAsia="zh-CN"/>
        </w:rPr>
      </w:pPr>
      <w:r>
        <w:rPr>
          <w:rFonts w:hint="eastAsia"/>
          <w:lang w:val="en-US" w:eastAsia="zh-CN"/>
        </w:rPr>
        <w:t>从项目立项决策、组织实施、业务管理、资金管理制度建设、项目目标完成情况、项目产出、效果及效率等进行综合性分析评价。</w:t>
      </w:r>
    </w:p>
    <w:p w14:paraId="76E5FDDB">
      <w:pPr>
        <w:pStyle w:val="3"/>
        <w:bidi w:val="0"/>
        <w:rPr>
          <w:color w:val="auto"/>
        </w:rPr>
      </w:pPr>
      <w:bookmarkStart w:id="20" w:name="_Toc10599"/>
      <w:r>
        <w:rPr>
          <w:color w:val="auto"/>
        </w:rPr>
        <w:t>（二）</w:t>
      </w:r>
      <w:r>
        <w:rPr>
          <w:rFonts w:hint="eastAsia"/>
          <w:color w:val="auto"/>
        </w:rPr>
        <w:t>绩效</w:t>
      </w:r>
      <w:r>
        <w:rPr>
          <w:color w:val="auto"/>
        </w:rPr>
        <w:t>评价原则、评价指标体系、评价方法、评价标准</w:t>
      </w:r>
      <w:bookmarkEnd w:id="20"/>
    </w:p>
    <w:p w14:paraId="0AF72C6A">
      <w:pPr>
        <w:pStyle w:val="4"/>
        <w:bidi w:val="0"/>
        <w:rPr>
          <w:rFonts w:hint="eastAsia"/>
          <w:color w:val="auto"/>
          <w:lang w:val="en-US" w:eastAsia="zh-CN"/>
        </w:rPr>
      </w:pPr>
      <w:bookmarkStart w:id="21" w:name="_Toc17596"/>
      <w:bookmarkStart w:id="22" w:name="_Toc1091"/>
      <w:bookmarkStart w:id="23" w:name="_Toc32687"/>
      <w:bookmarkStart w:id="24" w:name="_Toc515"/>
      <w:bookmarkStart w:id="25" w:name="_Toc30917"/>
      <w:r>
        <w:rPr>
          <w:rFonts w:hint="eastAsia"/>
          <w:color w:val="auto"/>
          <w:lang w:val="en-US" w:eastAsia="zh-CN"/>
        </w:rPr>
        <w:t>1.绩效评价原则</w:t>
      </w:r>
      <w:bookmarkEnd w:id="21"/>
      <w:bookmarkEnd w:id="22"/>
      <w:bookmarkEnd w:id="23"/>
      <w:bookmarkEnd w:id="24"/>
      <w:bookmarkEnd w:id="25"/>
    </w:p>
    <w:p w14:paraId="1BC17A78">
      <w:pPr>
        <w:bidi w:val="0"/>
        <w:rPr>
          <w:rFonts w:hint="eastAsia"/>
          <w:lang w:val="en-US" w:eastAsia="zh-CN"/>
        </w:rPr>
      </w:pPr>
      <w:r>
        <w:rPr>
          <w:rFonts w:hint="eastAsia"/>
          <w:lang w:val="en-US" w:eastAsia="zh-CN"/>
        </w:rPr>
        <w:t>（1）科学规范原则。绩效评价应当运用科学合理的方法，按照规范的程序，对项目绩效进行客观、公正的反映。</w:t>
      </w:r>
    </w:p>
    <w:p w14:paraId="68ED358F">
      <w:pPr>
        <w:bidi w:val="0"/>
        <w:rPr>
          <w:rFonts w:hint="eastAsia"/>
          <w:lang w:val="en-US" w:eastAsia="zh-CN"/>
        </w:rPr>
      </w:pPr>
      <w:bookmarkStart w:id="26" w:name="_Toc16722"/>
      <w:bookmarkStart w:id="27" w:name="_Toc20774"/>
      <w:bookmarkStart w:id="28" w:name="_Toc11520"/>
      <w:bookmarkStart w:id="29" w:name="_Toc3808"/>
      <w:bookmarkStart w:id="30" w:name="_Toc24813"/>
      <w:r>
        <w:rPr>
          <w:rFonts w:hint="eastAsia"/>
          <w:lang w:val="en-US" w:eastAsia="zh-CN"/>
        </w:rPr>
        <w:t>（2）公正公开原则。绩效评价应当符合真实、客观、公正的要求，依法公开并接受监督。</w:t>
      </w:r>
    </w:p>
    <w:p w14:paraId="2055C85A">
      <w:pPr>
        <w:bidi w:val="0"/>
        <w:rPr>
          <w:rFonts w:hint="eastAsia"/>
          <w:lang w:val="en-US" w:eastAsia="zh-CN"/>
        </w:rPr>
      </w:pPr>
      <w:r>
        <w:rPr>
          <w:rFonts w:hint="eastAsia"/>
          <w:lang w:val="en-US" w:eastAsia="zh-CN"/>
        </w:rPr>
        <w:t>3）分级分类原则。绩效评价由各级财政部门、各预算部门根据评价对象的特点分类组织实施。</w:t>
      </w:r>
    </w:p>
    <w:p w14:paraId="0E22FEE2">
      <w:pPr>
        <w:bidi w:val="0"/>
        <w:rPr>
          <w:rFonts w:hint="eastAsia"/>
          <w:lang w:val="en-US" w:eastAsia="zh-CN"/>
        </w:rPr>
      </w:pPr>
      <w:r>
        <w:rPr>
          <w:rFonts w:hint="eastAsia"/>
          <w:lang w:val="en-US" w:eastAsia="zh-CN"/>
        </w:rPr>
        <w:t>（4）绩效相关原则。绩效评价应当针对具体支出及其产出绩效进行，评价结果应当清晰反映支出和产出绩效之间的紧密对应关系。</w:t>
      </w:r>
    </w:p>
    <w:p w14:paraId="383B8CEC">
      <w:pPr>
        <w:bidi w:val="0"/>
        <w:rPr>
          <w:rFonts w:hint="eastAsia"/>
          <w:lang w:val="en-US" w:eastAsia="zh-CN"/>
        </w:rPr>
      </w:pPr>
      <w:r>
        <w:rPr>
          <w:rFonts w:hint="eastAsia"/>
          <w:lang w:val="en-US" w:eastAsia="zh-CN"/>
        </w:rPr>
        <w:t>（5）政策相符原则。制定的评价工作方案及项目评价实施工作均应严格执行有关政策和管理规定。</w:t>
      </w:r>
    </w:p>
    <w:p w14:paraId="0626CFC7">
      <w:pPr>
        <w:pStyle w:val="4"/>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val="0"/>
          <w:color w:val="auto"/>
          <w:kern w:val="2"/>
          <w:sz w:val="32"/>
          <w:szCs w:val="32"/>
          <w:highlight w:val="none"/>
          <w:lang w:val="en-US" w:eastAsia="zh-CN" w:bidi="ar-SA"/>
        </w:rPr>
      </w:pPr>
      <w:r>
        <w:rPr>
          <w:rFonts w:hint="eastAsia" w:ascii="仿宋" w:hAnsi="仿宋" w:eastAsia="仿宋" w:cs="仿宋"/>
          <w:b w:val="0"/>
          <w:color w:val="auto"/>
          <w:kern w:val="2"/>
          <w:sz w:val="32"/>
          <w:szCs w:val="32"/>
          <w:highlight w:val="none"/>
          <w:lang w:val="en-US" w:eastAsia="zh-CN" w:bidi="ar-SA"/>
        </w:rPr>
        <w:t>2.评价指标体系</w:t>
      </w:r>
      <w:bookmarkEnd w:id="26"/>
      <w:bookmarkEnd w:id="27"/>
      <w:bookmarkEnd w:id="28"/>
      <w:bookmarkEnd w:id="29"/>
      <w:bookmarkEnd w:id="30"/>
    </w:p>
    <w:p w14:paraId="313E6EC9">
      <w:pPr>
        <w:bidi w:val="0"/>
        <w:rPr>
          <w:rFonts w:hint="eastAsia"/>
        </w:rPr>
      </w:pPr>
      <w:bookmarkStart w:id="31" w:name="_Toc18493"/>
      <w:bookmarkStart w:id="32" w:name="_Toc22736"/>
      <w:bookmarkStart w:id="33" w:name="_Toc16829"/>
      <w:bookmarkStart w:id="34" w:name="_Toc5449"/>
      <w:bookmarkStart w:id="35" w:name="_Toc1950"/>
      <w:r>
        <w:rPr>
          <w:rFonts w:hint="eastAsia"/>
        </w:rPr>
        <w:t>评价工作组根据财政部</w:t>
      </w:r>
      <w:r>
        <w:rPr>
          <w:rFonts w:hint="eastAsia"/>
          <w:lang w:val="en-US" w:eastAsia="zh-CN"/>
        </w:rPr>
        <w:t>2020</w:t>
      </w:r>
      <w:r>
        <w:rPr>
          <w:rFonts w:hint="eastAsia"/>
        </w:rPr>
        <w:t>年印发的《项目支出绩效评价管理办法》中的《项目支出绩效评价指标体系框架（参考）》</w:t>
      </w:r>
      <w:r>
        <w:rPr>
          <w:rFonts w:hint="eastAsia"/>
          <w:lang w:eastAsia="zh-CN"/>
        </w:rPr>
        <w:t>和</w:t>
      </w:r>
      <w:r>
        <w:rPr>
          <w:rFonts w:hint="eastAsia"/>
        </w:rPr>
        <w:t>《内蒙古自治区项目支出绩效评价管理办法》（内政办发〔</w:t>
      </w:r>
      <w:r>
        <w:rPr>
          <w:rFonts w:hint="eastAsia"/>
          <w:lang w:eastAsia="zh-CN"/>
        </w:rPr>
        <w:t>2022</w:t>
      </w:r>
      <w:r>
        <w:rPr>
          <w:rFonts w:hint="eastAsia"/>
        </w:rPr>
        <w:t>〕5号）</w:t>
      </w:r>
      <w:r>
        <w:rPr>
          <w:rFonts w:hint="eastAsia"/>
          <w:lang w:eastAsia="zh-CN"/>
        </w:rPr>
        <w:t>文件相关要求</w:t>
      </w:r>
      <w:r>
        <w:rPr>
          <w:rFonts w:hint="eastAsia"/>
        </w:rPr>
        <w:t>，结合</w:t>
      </w:r>
      <w:r>
        <w:rPr>
          <w:rFonts w:hint="eastAsia"/>
          <w:lang w:eastAsia="zh-CN"/>
        </w:rPr>
        <w:t>2024年</w:t>
      </w:r>
      <w:r>
        <w:rPr>
          <w:rFonts w:hint="eastAsia"/>
        </w:rPr>
        <w:t>度</w:t>
      </w:r>
      <w:r>
        <w:rPr>
          <w:rFonts w:hint="eastAsia"/>
          <w:lang w:eastAsia="zh-CN"/>
        </w:rPr>
        <w:t>办案（业务）经费</w:t>
      </w:r>
      <w:r>
        <w:rPr>
          <w:rFonts w:hint="eastAsia"/>
        </w:rPr>
        <w:t>的</w:t>
      </w:r>
      <w:r>
        <w:rPr>
          <w:rFonts w:hint="eastAsia"/>
          <w:lang w:eastAsia="zh-CN"/>
        </w:rPr>
        <w:t>项目</w:t>
      </w:r>
      <w:r>
        <w:rPr>
          <w:rFonts w:hint="eastAsia"/>
        </w:rPr>
        <w:t>特点，制定了</w:t>
      </w:r>
      <w:r>
        <w:rPr>
          <w:rFonts w:hint="eastAsia"/>
          <w:lang w:eastAsia="zh-CN"/>
        </w:rPr>
        <w:t>2024年</w:t>
      </w:r>
      <w:r>
        <w:rPr>
          <w:rFonts w:hint="eastAsia"/>
        </w:rPr>
        <w:t>度</w:t>
      </w:r>
      <w:r>
        <w:rPr>
          <w:rFonts w:hint="eastAsia"/>
          <w:lang w:eastAsia="zh-CN"/>
        </w:rPr>
        <w:t>办案（业务）经费</w:t>
      </w:r>
      <w:r>
        <w:rPr>
          <w:rFonts w:hint="eastAsia"/>
        </w:rPr>
        <w:t>绩效评价指标体系与评分标准。指标</w:t>
      </w:r>
      <w:r>
        <w:rPr>
          <w:rFonts w:hint="eastAsia"/>
          <w:lang w:eastAsia="zh-CN"/>
        </w:rPr>
        <w:t>体系由</w:t>
      </w:r>
      <w:r>
        <w:rPr>
          <w:rFonts w:hint="eastAsia"/>
        </w:rPr>
        <w:t>一级指标、二级指标、三级指标</w:t>
      </w:r>
      <w:r>
        <w:rPr>
          <w:rFonts w:hint="eastAsia"/>
          <w:lang w:eastAsia="zh-CN"/>
        </w:rPr>
        <w:t>构成，总分</w:t>
      </w:r>
      <w:r>
        <w:rPr>
          <w:rFonts w:hint="eastAsia"/>
          <w:lang w:val="en-US" w:eastAsia="zh-CN"/>
        </w:rPr>
        <w:t>100分</w:t>
      </w:r>
      <w:r>
        <w:rPr>
          <w:rFonts w:hint="eastAsia"/>
        </w:rPr>
        <w:t>，数据主要来源于政策文件、实地调研、统计数据、</w:t>
      </w:r>
      <w:r>
        <w:rPr>
          <w:rFonts w:hint="eastAsia"/>
          <w:lang w:eastAsia="zh-CN"/>
        </w:rPr>
        <w:t>调查问卷</w:t>
      </w:r>
      <w:r>
        <w:rPr>
          <w:rFonts w:hint="eastAsia"/>
        </w:rPr>
        <w:t>等。同时结合</w:t>
      </w:r>
      <w:r>
        <w:rPr>
          <w:rFonts w:hint="eastAsia"/>
          <w:lang w:eastAsia="zh-CN"/>
        </w:rPr>
        <w:t>办案（业务）经费</w:t>
      </w:r>
      <w:r>
        <w:rPr>
          <w:rFonts w:hint="eastAsia"/>
        </w:rPr>
        <w:t>的具体特点，通过三级指标对</w:t>
      </w:r>
      <w:r>
        <w:rPr>
          <w:rFonts w:hint="eastAsia"/>
          <w:lang w:eastAsia="zh-CN"/>
        </w:rPr>
        <w:t>办案（业务）经费</w:t>
      </w:r>
      <w:r>
        <w:rPr>
          <w:rFonts w:hint="eastAsia"/>
        </w:rPr>
        <w:t>的产出和</w:t>
      </w:r>
      <w:r>
        <w:rPr>
          <w:rFonts w:hint="eastAsia"/>
          <w:lang w:eastAsia="zh-CN"/>
        </w:rPr>
        <w:t>效益</w:t>
      </w:r>
      <w:r>
        <w:rPr>
          <w:rFonts w:hint="eastAsia"/>
        </w:rPr>
        <w:t>情况确定了各自的评分分值。评价指标体系详见附件1《</w:t>
      </w:r>
      <w:r>
        <w:rPr>
          <w:rFonts w:hint="eastAsia"/>
          <w:lang w:eastAsia="zh-CN"/>
        </w:rPr>
        <w:t>2024年</w:t>
      </w:r>
      <w:r>
        <w:rPr>
          <w:rFonts w:hint="eastAsia"/>
        </w:rPr>
        <w:t>度</w:t>
      </w:r>
      <w:r>
        <w:rPr>
          <w:rFonts w:hint="eastAsia"/>
          <w:lang w:val="en-US" w:eastAsia="zh-CN"/>
        </w:rPr>
        <w:t>呼和浩特市赛罕区人民检察院办案（业务）经费</w:t>
      </w:r>
      <w:r>
        <w:rPr>
          <w:rFonts w:hint="eastAsia"/>
        </w:rPr>
        <w:t>绩效评价</w:t>
      </w:r>
      <w:r>
        <w:rPr>
          <w:rFonts w:hint="eastAsia"/>
          <w:lang w:val="en-US" w:eastAsia="zh-CN"/>
        </w:rPr>
        <w:t>指标体系</w:t>
      </w:r>
      <w:r>
        <w:rPr>
          <w:rFonts w:hint="eastAsia"/>
        </w:rPr>
        <w:t>》。</w:t>
      </w:r>
    </w:p>
    <w:p w14:paraId="7AEA7B3B">
      <w:pPr>
        <w:pStyle w:val="4"/>
        <w:bidi w:val="0"/>
        <w:rPr>
          <w:rFonts w:hint="eastAsia"/>
          <w:color w:val="auto"/>
          <w:lang w:val="en-US" w:eastAsia="zh-CN"/>
        </w:rPr>
      </w:pPr>
      <w:r>
        <w:rPr>
          <w:rFonts w:hint="eastAsia"/>
          <w:color w:val="auto"/>
          <w:lang w:val="en-US" w:eastAsia="zh-CN"/>
        </w:rPr>
        <w:t>3.评价方法</w:t>
      </w:r>
      <w:bookmarkEnd w:id="31"/>
      <w:bookmarkEnd w:id="32"/>
      <w:bookmarkEnd w:id="33"/>
      <w:bookmarkEnd w:id="34"/>
      <w:bookmarkEnd w:id="35"/>
    </w:p>
    <w:p w14:paraId="7EFEF8AA">
      <w:pPr>
        <w:bidi w:val="0"/>
        <w:rPr>
          <w:rFonts w:hint="eastAsia"/>
          <w:lang w:val="en-US" w:eastAsia="zh-CN"/>
        </w:rPr>
      </w:pPr>
      <w:r>
        <w:rPr>
          <w:rFonts w:hint="eastAsia"/>
          <w:lang w:val="en-US" w:eastAsia="zh-CN"/>
        </w:rPr>
        <w:t>根据项目的实际情况本次绩效评价采取书面核查与实地调查相结合的方式。</w:t>
      </w:r>
    </w:p>
    <w:p w14:paraId="424EB391">
      <w:pPr>
        <w:bidi w:val="0"/>
        <w:rPr>
          <w:rFonts w:hint="eastAsia"/>
          <w:lang w:val="en-US" w:eastAsia="zh-CN"/>
        </w:rPr>
      </w:pPr>
      <w:r>
        <w:rPr>
          <w:rFonts w:hint="eastAsia"/>
          <w:lang w:val="en-US" w:eastAsia="zh-CN"/>
        </w:rPr>
        <w:t>本着选用坚持定量优先、简便有效的原则，确实不能以客观的量化指标评价的，可以在定性分析的基础上，根据绩效情况予以评价，以提高绩效评价质量。根据绩效评价对象的具体情况，我们将采用如下方法开展评价工作。</w:t>
      </w:r>
    </w:p>
    <w:p w14:paraId="0311DDB6">
      <w:pPr>
        <w:bidi w:val="0"/>
        <w:rPr>
          <w:rFonts w:hint="eastAsia"/>
          <w:lang w:val="en-US" w:eastAsia="zh-CN"/>
        </w:rPr>
      </w:pPr>
      <w:r>
        <w:rPr>
          <w:rFonts w:hint="eastAsia"/>
          <w:lang w:val="en-US" w:eastAsia="zh-CN"/>
        </w:rPr>
        <w:t>（1）加权平均法，通过对项目绩效目标与实际实施效果的对比，综合分析其绩效目标实现程度，对各项指标要素评分，结合各项评分值与指标要素权重得出评价综合分值</w:t>
      </w:r>
    </w:p>
    <w:p w14:paraId="6922FA72">
      <w:pPr>
        <w:bidi w:val="0"/>
        <w:rPr>
          <w:rFonts w:hint="eastAsia"/>
          <w:lang w:val="en-US" w:eastAsia="zh-CN"/>
        </w:rPr>
      </w:pPr>
      <w:r>
        <w:rPr>
          <w:rFonts w:hint="eastAsia"/>
          <w:lang w:val="en-US" w:eastAsia="zh-CN"/>
        </w:rPr>
        <w:t>（2）因素分析法。是指通过综合分析影响绩效目标实现、实施效果的内外因素，评价绩效目标实现程度。</w:t>
      </w:r>
    </w:p>
    <w:p w14:paraId="029DF1EA">
      <w:pPr>
        <w:bidi w:val="0"/>
        <w:rPr>
          <w:rFonts w:hint="eastAsia"/>
          <w:lang w:val="en-US" w:eastAsia="zh-CN"/>
        </w:rPr>
      </w:pPr>
      <w:r>
        <w:rPr>
          <w:rFonts w:hint="eastAsia"/>
          <w:lang w:val="en-US" w:eastAsia="zh-CN"/>
        </w:rPr>
        <w:t>（3）公众评判法。是指通过专家评估、公众问卷及抽样调查等对财政支出效果进行评判，评价绩效目标实现程度。</w:t>
      </w:r>
    </w:p>
    <w:p w14:paraId="242FA536">
      <w:pPr>
        <w:pStyle w:val="4"/>
        <w:bidi w:val="0"/>
        <w:rPr>
          <w:rFonts w:hint="eastAsia"/>
          <w:color w:val="auto"/>
          <w:lang w:val="en-US" w:eastAsia="zh-CN"/>
        </w:rPr>
      </w:pPr>
      <w:bookmarkStart w:id="36" w:name="_Toc6616"/>
      <w:bookmarkStart w:id="37" w:name="_Toc15003"/>
      <w:bookmarkStart w:id="38" w:name="_Toc22487"/>
      <w:bookmarkStart w:id="39" w:name="_Toc31672"/>
      <w:bookmarkStart w:id="40" w:name="_Toc147"/>
      <w:r>
        <w:rPr>
          <w:rFonts w:hint="eastAsia"/>
          <w:color w:val="auto"/>
          <w:lang w:val="en-US" w:eastAsia="zh-CN"/>
        </w:rPr>
        <w:t>4.评价标准</w:t>
      </w:r>
      <w:bookmarkEnd w:id="36"/>
      <w:bookmarkEnd w:id="37"/>
      <w:bookmarkEnd w:id="38"/>
      <w:bookmarkEnd w:id="39"/>
      <w:bookmarkEnd w:id="40"/>
      <w:r>
        <w:rPr>
          <w:rFonts w:hint="eastAsia"/>
          <w:color w:val="auto"/>
          <w:lang w:val="en-US" w:eastAsia="zh-CN"/>
        </w:rPr>
        <w:t>和等级</w:t>
      </w:r>
    </w:p>
    <w:p w14:paraId="587277A0">
      <w:pPr>
        <w:bidi w:val="0"/>
        <w:rPr>
          <w:rFonts w:hint="eastAsia"/>
          <w:lang w:val="en-US" w:eastAsia="zh-CN"/>
        </w:rPr>
      </w:pPr>
      <w:r>
        <w:rPr>
          <w:rFonts w:hint="eastAsia"/>
          <w:lang w:val="en-US" w:eastAsia="zh-CN"/>
        </w:rPr>
        <w:t>分值标准和评价等级：根据《项目支出绩效评价管理办法》（财预〔2020〕10号），绩效评价结果采取评分和评级相结合的方式，具体分值和等级可根据不同评价内容设定。总分设置为100分，等级划分为四档：评分结果分为优、良、中、差。</w:t>
      </w:r>
    </w:p>
    <w:p w14:paraId="68238227">
      <w:pPr>
        <w:bidi w:val="0"/>
        <w:rPr>
          <w:rFonts w:hint="eastAsia"/>
          <w:lang w:val="en-US" w:eastAsia="zh-CN"/>
        </w:rPr>
      </w:pPr>
      <w:r>
        <w:rPr>
          <w:rFonts w:hint="eastAsia"/>
          <w:lang w:val="en-US" w:eastAsia="zh-CN"/>
        </w:rPr>
        <w:t>综合得分在90（含）-100分为优；</w:t>
      </w:r>
    </w:p>
    <w:p w14:paraId="6A0E54E7">
      <w:pPr>
        <w:bidi w:val="0"/>
        <w:rPr>
          <w:rFonts w:hint="eastAsia"/>
          <w:lang w:val="en-US" w:eastAsia="zh-CN"/>
        </w:rPr>
      </w:pPr>
      <w:r>
        <w:rPr>
          <w:rFonts w:hint="eastAsia"/>
          <w:lang w:val="en-US" w:eastAsia="zh-CN"/>
        </w:rPr>
        <w:t>综合得分在80（含）-90分为良；</w:t>
      </w:r>
    </w:p>
    <w:p w14:paraId="71336D74">
      <w:pPr>
        <w:bidi w:val="0"/>
        <w:rPr>
          <w:rFonts w:hint="eastAsia"/>
          <w:lang w:val="en-US" w:eastAsia="zh-CN"/>
        </w:rPr>
      </w:pPr>
      <w:r>
        <w:rPr>
          <w:rFonts w:hint="eastAsia"/>
          <w:lang w:val="en-US" w:eastAsia="zh-CN"/>
        </w:rPr>
        <w:t>综合得分在60（含）-80分为中；</w:t>
      </w:r>
    </w:p>
    <w:p w14:paraId="173BA436">
      <w:pPr>
        <w:bidi w:val="0"/>
        <w:rPr>
          <w:rFonts w:hint="eastAsia"/>
          <w:lang w:val="en-US" w:eastAsia="zh-CN"/>
        </w:rPr>
      </w:pPr>
      <w:r>
        <w:rPr>
          <w:rFonts w:hint="eastAsia"/>
          <w:lang w:val="en-US" w:eastAsia="zh-CN"/>
        </w:rPr>
        <w:t>综合得分在60分以下为差。</w:t>
      </w:r>
    </w:p>
    <w:p w14:paraId="765EB110">
      <w:pPr>
        <w:pStyle w:val="3"/>
        <w:ind w:firstLine="643"/>
        <w:rPr>
          <w:rFonts w:ascii="仿宋" w:hAnsi="仿宋" w:cs="仿宋"/>
          <w:color w:val="auto"/>
          <w:sz w:val="32"/>
          <w:highlight w:val="none"/>
        </w:rPr>
      </w:pPr>
      <w:bookmarkStart w:id="41" w:name="_Toc19398"/>
      <w:r>
        <w:rPr>
          <w:rFonts w:hint="eastAsia" w:ascii="仿宋" w:hAnsi="仿宋" w:cs="仿宋"/>
          <w:color w:val="auto"/>
          <w:sz w:val="32"/>
          <w:highlight w:val="none"/>
        </w:rPr>
        <w:t>（三）绩效评价工作过程</w:t>
      </w:r>
      <w:bookmarkEnd w:id="41"/>
      <w:r>
        <w:rPr>
          <w:rFonts w:hint="eastAsia" w:ascii="仿宋" w:hAnsi="仿宋" w:cs="仿宋"/>
          <w:color w:val="auto"/>
          <w:sz w:val="32"/>
          <w:highlight w:val="none"/>
        </w:rPr>
        <w:tab/>
      </w:r>
    </w:p>
    <w:p w14:paraId="144B6C41">
      <w:pPr>
        <w:pStyle w:val="4"/>
        <w:bidi w:val="0"/>
        <w:rPr>
          <w:rFonts w:hint="eastAsia"/>
          <w:color w:val="auto"/>
          <w:lang w:val="en-US" w:eastAsia="zh-CN"/>
        </w:rPr>
      </w:pPr>
      <w:bookmarkStart w:id="42" w:name="_Toc8933"/>
      <w:bookmarkStart w:id="43" w:name="_Toc17323"/>
      <w:bookmarkStart w:id="44" w:name="_Toc3212"/>
      <w:bookmarkStart w:id="45" w:name="_Toc24791"/>
      <w:bookmarkStart w:id="46" w:name="_Toc26612"/>
      <w:bookmarkStart w:id="47" w:name="_Toc32495"/>
      <w:bookmarkStart w:id="48" w:name="_Toc6801"/>
      <w:r>
        <w:rPr>
          <w:rFonts w:hint="eastAsia"/>
          <w:color w:val="auto"/>
          <w:lang w:val="en-US" w:eastAsia="zh-CN"/>
        </w:rPr>
        <w:t>1.前期准备与方案制定</w:t>
      </w:r>
      <w:bookmarkEnd w:id="42"/>
      <w:bookmarkEnd w:id="43"/>
      <w:bookmarkEnd w:id="44"/>
      <w:bookmarkEnd w:id="45"/>
      <w:bookmarkEnd w:id="46"/>
      <w:bookmarkEnd w:id="47"/>
      <w:bookmarkEnd w:id="48"/>
    </w:p>
    <w:p w14:paraId="1746E34D">
      <w:pPr>
        <w:bidi w:val="0"/>
        <w:rPr>
          <w:rFonts w:hint="eastAsia"/>
          <w:lang w:val="en-US" w:eastAsia="zh-CN"/>
        </w:rPr>
      </w:pPr>
      <w:r>
        <w:rPr>
          <w:rFonts w:hint="eastAsia"/>
          <w:lang w:val="en-US" w:eastAsia="zh-CN"/>
        </w:rPr>
        <w:t>（</w:t>
      </w:r>
      <w:r>
        <w:rPr>
          <w:rFonts w:hint="default"/>
          <w:lang w:val="en-US" w:eastAsia="zh-CN"/>
        </w:rPr>
        <w:t>1</w:t>
      </w:r>
      <w:r>
        <w:rPr>
          <w:rFonts w:hint="eastAsia"/>
          <w:lang w:val="en-US" w:eastAsia="zh-CN"/>
        </w:rPr>
        <w:t>）成立项目绩效评价工作组，负责绩效评价工作的组织协调、管理工作和具体的绩效评价工作。</w:t>
      </w:r>
    </w:p>
    <w:p w14:paraId="697B6FF2">
      <w:pPr>
        <w:bidi w:val="0"/>
        <w:rPr>
          <w:rFonts w:hint="eastAsia"/>
          <w:lang w:val="en-US" w:eastAsia="zh-CN"/>
        </w:rPr>
      </w:pPr>
      <w:r>
        <w:rPr>
          <w:rFonts w:hint="eastAsia"/>
          <w:lang w:val="en-US" w:eastAsia="zh-CN"/>
        </w:rPr>
        <w:t>（</w:t>
      </w:r>
      <w:r>
        <w:rPr>
          <w:rFonts w:hint="default"/>
          <w:lang w:val="en-US" w:eastAsia="zh-CN"/>
        </w:rPr>
        <w:t>2</w:t>
      </w:r>
      <w:r>
        <w:rPr>
          <w:rFonts w:hint="eastAsia"/>
          <w:lang w:val="en-US" w:eastAsia="zh-CN"/>
        </w:rPr>
        <w:t>）制定项目绩效评价工作方案及指标体系。按照客观、公平、公正的绩效评价原则，合理制定切实可行，操作性强的评价方案。并在收集资料、充分调研的基础上编制评价指标体系。</w:t>
      </w:r>
    </w:p>
    <w:p w14:paraId="1F4525D0">
      <w:pPr>
        <w:bidi w:val="0"/>
        <w:rPr>
          <w:rFonts w:hint="eastAsia"/>
          <w:lang w:val="en-US" w:eastAsia="zh-CN"/>
        </w:rPr>
      </w:pPr>
      <w:r>
        <w:rPr>
          <w:rFonts w:hint="eastAsia"/>
          <w:lang w:val="en-US" w:eastAsia="zh-CN"/>
        </w:rPr>
        <w:t>（3）评价方案和指标体系形成初稿后，经项目负责人及专家复核后并予以完善，形成正式绩效评价方案。</w:t>
      </w:r>
    </w:p>
    <w:p w14:paraId="686F7542">
      <w:pPr>
        <w:bidi w:val="0"/>
        <w:rPr>
          <w:rFonts w:hint="eastAsia"/>
          <w:lang w:val="en-US" w:eastAsia="zh-CN"/>
        </w:rPr>
      </w:pPr>
      <w:r>
        <w:rPr>
          <w:rFonts w:hint="eastAsia"/>
          <w:lang w:val="en-US" w:eastAsia="zh-CN"/>
        </w:rPr>
        <w:t>（4）收集绩效评价资料。评价工作组结合评价对象的具体情况，进行绩效评价详细分工，编制项目单位所需的资料清单并进行收集。</w:t>
      </w:r>
    </w:p>
    <w:p w14:paraId="0EE98245">
      <w:pPr>
        <w:pStyle w:val="4"/>
        <w:bidi w:val="0"/>
        <w:rPr>
          <w:rFonts w:hint="eastAsia"/>
          <w:color w:val="auto"/>
          <w:lang w:val="en-US" w:eastAsia="zh-CN"/>
        </w:rPr>
      </w:pPr>
      <w:bookmarkStart w:id="49" w:name="_Toc1184"/>
      <w:bookmarkStart w:id="50" w:name="_Toc18157"/>
      <w:bookmarkStart w:id="51" w:name="_Toc18441"/>
      <w:bookmarkStart w:id="52" w:name="_Toc12691"/>
      <w:bookmarkStart w:id="53" w:name="_Toc23219"/>
      <w:bookmarkStart w:id="54" w:name="_Toc11348"/>
      <w:bookmarkStart w:id="55" w:name="_Toc4816"/>
      <w:r>
        <w:rPr>
          <w:rFonts w:hint="eastAsia"/>
          <w:color w:val="auto"/>
          <w:lang w:val="en-US" w:eastAsia="zh-CN"/>
        </w:rPr>
        <w:t>2.组织实施</w:t>
      </w:r>
      <w:bookmarkEnd w:id="49"/>
      <w:bookmarkEnd w:id="50"/>
      <w:bookmarkEnd w:id="51"/>
      <w:bookmarkEnd w:id="52"/>
      <w:bookmarkEnd w:id="53"/>
      <w:bookmarkEnd w:id="54"/>
      <w:bookmarkEnd w:id="55"/>
    </w:p>
    <w:p w14:paraId="03E3B0A0">
      <w:pPr>
        <w:bidi w:val="0"/>
        <w:rPr>
          <w:rFonts w:hint="eastAsia"/>
          <w:lang w:val="en-US" w:eastAsia="zh-CN"/>
        </w:rPr>
      </w:pPr>
      <w:bookmarkStart w:id="56" w:name="_Toc3501"/>
      <w:bookmarkStart w:id="57" w:name="_Toc11772"/>
      <w:bookmarkStart w:id="58" w:name="_Toc13589"/>
      <w:bookmarkStart w:id="59" w:name="_Toc29474"/>
      <w:bookmarkStart w:id="60" w:name="_Toc1484"/>
      <w:bookmarkStart w:id="61" w:name="_Toc29433"/>
      <w:bookmarkStart w:id="62" w:name="_Toc26570"/>
      <w:r>
        <w:rPr>
          <w:rFonts w:hint="eastAsia"/>
          <w:lang w:val="en-US" w:eastAsia="zh-CN"/>
        </w:rPr>
        <w:t>（</w:t>
      </w:r>
      <w:r>
        <w:rPr>
          <w:rFonts w:hint="default"/>
          <w:lang w:val="en-US" w:eastAsia="zh-CN"/>
        </w:rPr>
        <w:t>1</w:t>
      </w:r>
      <w:r>
        <w:rPr>
          <w:rFonts w:hint="eastAsia"/>
          <w:lang w:val="en-US" w:eastAsia="zh-CN"/>
        </w:rPr>
        <w:t>）现场实施。绩效评价工作组到项目实施单位实地现场收集、查阅、询问相关项目情况。查阅项目相关资料，询问了解项目实施过程，收集资金下达文件、财务收支计划等资料，查阅会计账簿、会计凭证及与项目绩效评价事项有关的文件、资料，并获取项目建设相关数据等必要的评价证据资料。在现场核查过程中，尽可能收集足够的相关信息，掌握详实的资料。</w:t>
      </w:r>
    </w:p>
    <w:p w14:paraId="00A7E9AD">
      <w:pPr>
        <w:bidi w:val="0"/>
        <w:rPr>
          <w:rFonts w:hint="eastAsia"/>
          <w:lang w:val="en-US" w:eastAsia="zh-CN"/>
        </w:rPr>
      </w:pPr>
      <w:r>
        <w:rPr>
          <w:rFonts w:hint="eastAsia"/>
          <w:lang w:val="en-US" w:eastAsia="zh-CN"/>
        </w:rPr>
        <w:t>（</w:t>
      </w:r>
      <w:r>
        <w:rPr>
          <w:rFonts w:hint="default"/>
          <w:lang w:val="en-US" w:eastAsia="zh-CN"/>
        </w:rPr>
        <w:t>2</w:t>
      </w:r>
      <w:r>
        <w:rPr>
          <w:rFonts w:hint="eastAsia"/>
          <w:lang w:val="en-US" w:eastAsia="zh-CN"/>
        </w:rPr>
        <w:t>）走访调查。评价工作组在赛罕区人民检察院的配合下，对项目进行现场走访调研，对项目的开展及完成情况在现场走访阶段进行初步评价，了解项目开展情况，确保信息来源真实可靠。通过电子调查问卷形式，充分了解项目开展及效益发挥情况。</w:t>
      </w:r>
    </w:p>
    <w:p w14:paraId="78E03911">
      <w:pPr>
        <w:pStyle w:val="4"/>
        <w:keepNext w:val="0"/>
        <w:keepLines w:val="0"/>
        <w:pageBreakBefore w:val="0"/>
        <w:widowControl w:val="0"/>
        <w:kinsoku/>
        <w:wordWrap/>
        <w:overflowPunct/>
        <w:topLinePunct w:val="0"/>
        <w:autoSpaceDE/>
        <w:autoSpaceDN/>
        <w:bidi w:val="0"/>
        <w:adjustRightInd/>
        <w:snapToGrid/>
        <w:ind w:left="0" w:leftChars="0" w:firstLine="643" w:firstLineChars="200"/>
        <w:textAlignment w:val="auto"/>
        <w:rPr>
          <w:rFonts w:hint="eastAsia" w:ascii="仿宋" w:hAnsi="仿宋" w:eastAsia="仿宋" w:cs="Times New Roman"/>
          <w:b/>
          <w:bCs/>
          <w:color w:val="auto"/>
          <w:kern w:val="2"/>
          <w:sz w:val="32"/>
          <w:szCs w:val="32"/>
          <w:highlight w:val="none"/>
          <w:lang w:val="en-US" w:eastAsia="zh-CN" w:bidi="ar-SA"/>
        </w:rPr>
      </w:pPr>
      <w:r>
        <w:rPr>
          <w:rFonts w:hint="eastAsia" w:ascii="仿宋" w:hAnsi="仿宋" w:eastAsia="仿宋" w:cs="Times New Roman"/>
          <w:b/>
          <w:bCs/>
          <w:color w:val="auto"/>
          <w:kern w:val="2"/>
          <w:sz w:val="32"/>
          <w:szCs w:val="32"/>
          <w:highlight w:val="none"/>
          <w:lang w:val="en-US" w:eastAsia="zh-CN" w:bidi="ar-SA"/>
        </w:rPr>
        <w:t>3.分析评价与报告撰写</w:t>
      </w:r>
      <w:bookmarkEnd w:id="56"/>
      <w:bookmarkEnd w:id="57"/>
      <w:bookmarkEnd w:id="58"/>
      <w:bookmarkEnd w:id="59"/>
      <w:bookmarkEnd w:id="60"/>
      <w:bookmarkEnd w:id="61"/>
      <w:bookmarkEnd w:id="62"/>
    </w:p>
    <w:p w14:paraId="2FE6CA14">
      <w:pPr>
        <w:bidi w:val="0"/>
        <w:rPr>
          <w:rFonts w:hint="eastAsia"/>
          <w:lang w:val="en-US" w:eastAsia="zh-CN"/>
        </w:rPr>
      </w:pPr>
      <w:r>
        <w:rPr>
          <w:rFonts w:hint="eastAsia"/>
          <w:lang w:val="en-US" w:eastAsia="zh-CN"/>
        </w:rPr>
        <w:t>（1）形成初步绩效评价意见和结论</w:t>
      </w:r>
    </w:p>
    <w:p w14:paraId="3A497313">
      <w:pPr>
        <w:bidi w:val="0"/>
        <w:rPr>
          <w:rFonts w:hint="eastAsia"/>
          <w:lang w:val="en-US" w:eastAsia="zh-CN"/>
        </w:rPr>
      </w:pPr>
      <w:r>
        <w:rPr>
          <w:rFonts w:hint="eastAsia"/>
          <w:lang w:val="en-US" w:eastAsia="zh-CN"/>
        </w:rPr>
        <w:t>绩效评价工作组根据资料分析的实际情况，并按照指标体系及评分标准对办案（业务）经费四项指数编制情况进行打分，在此基础上形成项目评价的初步意见与结论。</w:t>
      </w:r>
    </w:p>
    <w:p w14:paraId="0E8EBDF3">
      <w:pPr>
        <w:bidi w:val="0"/>
        <w:rPr>
          <w:rFonts w:hint="eastAsia"/>
          <w:lang w:val="en-US" w:eastAsia="zh-CN"/>
        </w:rPr>
      </w:pPr>
      <w:r>
        <w:rPr>
          <w:rFonts w:hint="eastAsia"/>
          <w:lang w:val="en-US" w:eastAsia="zh-CN"/>
        </w:rPr>
        <w:t>（2）内部评审会研讨、形成绩效评价报告初稿</w:t>
      </w:r>
    </w:p>
    <w:p w14:paraId="545ECFAC">
      <w:pPr>
        <w:bidi w:val="0"/>
        <w:rPr>
          <w:rFonts w:hint="eastAsia"/>
          <w:lang w:val="en-US" w:eastAsia="zh-CN"/>
        </w:rPr>
      </w:pPr>
      <w:r>
        <w:rPr>
          <w:rFonts w:hint="eastAsia"/>
          <w:lang w:val="en-US" w:eastAsia="zh-CN"/>
        </w:rPr>
        <w:t>组织召开内部评审会，评价组工作人员对项目具体情况进行汇总梳理，绩效评价工作组负责人由此对项目立项、项目管理、项目效果等方面作出评价结论、提出意见并进行论证。根据内部评审会的评价结果和意见，对绩效评价报告进行修正、补充与完善，形成绩效评价报告初稿。</w:t>
      </w:r>
    </w:p>
    <w:p w14:paraId="071DDCC8">
      <w:pPr>
        <w:bidi w:val="0"/>
        <w:rPr>
          <w:rFonts w:hint="eastAsia"/>
          <w:lang w:val="en-US" w:eastAsia="zh-CN"/>
        </w:rPr>
      </w:pPr>
      <w:r>
        <w:rPr>
          <w:rFonts w:hint="eastAsia"/>
          <w:lang w:val="en-US" w:eastAsia="zh-CN"/>
        </w:rPr>
        <w:t>（3）形成正式评价报告</w:t>
      </w:r>
    </w:p>
    <w:p w14:paraId="3F63EB58">
      <w:pPr>
        <w:bidi w:val="0"/>
        <w:rPr>
          <w:rFonts w:hint="eastAsia"/>
          <w:lang w:val="en-US" w:eastAsia="zh-CN"/>
        </w:rPr>
      </w:pPr>
      <w:r>
        <w:rPr>
          <w:rFonts w:hint="eastAsia"/>
          <w:lang w:val="en-US" w:eastAsia="zh-CN"/>
        </w:rPr>
        <w:t>绩效评价工作组在内部评审会及反馈意见的基础上，对评价报告进行再次修改，形成正式的绩效评价报告。</w:t>
      </w:r>
    </w:p>
    <w:p w14:paraId="78626E22">
      <w:pPr>
        <w:bidi w:val="0"/>
        <w:rPr>
          <w:rFonts w:hint="eastAsia"/>
          <w:lang w:val="en-US" w:eastAsia="zh-CN"/>
        </w:rPr>
      </w:pPr>
      <w:r>
        <w:rPr>
          <w:rFonts w:hint="eastAsia"/>
          <w:lang w:val="en-US" w:eastAsia="zh-CN"/>
        </w:rPr>
        <w:t>（4）资料整理归档</w:t>
      </w:r>
    </w:p>
    <w:p w14:paraId="56F93FB1">
      <w:pPr>
        <w:bidi w:val="0"/>
        <w:rPr>
          <w:rFonts w:hint="eastAsia"/>
          <w:lang w:val="en-US" w:eastAsia="zh-CN"/>
        </w:rPr>
      </w:pPr>
      <w:r>
        <w:rPr>
          <w:rFonts w:hint="eastAsia"/>
          <w:lang w:val="en-US" w:eastAsia="zh-CN"/>
        </w:rPr>
        <w:t>绩效评价工作结束后，绩效评价工作组将绩效评价过程中所涉及的资料，主要有绩效评价报告正式版、指标体系电子版、项目资料清单及底稿等及时收集和整理，并归档备查。</w:t>
      </w:r>
    </w:p>
    <w:p w14:paraId="11C27473">
      <w:pPr>
        <w:pStyle w:val="2"/>
        <w:bidi w:val="0"/>
        <w:rPr>
          <w:color w:val="auto"/>
        </w:rPr>
      </w:pPr>
      <w:bookmarkStart w:id="63" w:name="_Toc11476"/>
      <w:bookmarkStart w:id="64" w:name="_Toc15973"/>
      <w:r>
        <w:rPr>
          <w:rFonts w:hint="eastAsia"/>
          <w:color w:val="auto"/>
          <w:lang w:eastAsia="zh-CN"/>
        </w:rPr>
        <w:t>三、</w:t>
      </w:r>
      <w:r>
        <w:rPr>
          <w:color w:val="auto"/>
        </w:rPr>
        <w:t>综合评价情况及评价结论</w:t>
      </w:r>
      <w:bookmarkEnd w:id="63"/>
      <w:bookmarkEnd w:id="64"/>
    </w:p>
    <w:p w14:paraId="14E0994B">
      <w:pPr>
        <w:bidi w:val="0"/>
        <w:rPr>
          <w:rFonts w:hint="eastAsia"/>
        </w:rPr>
      </w:pPr>
      <w:r>
        <w:rPr>
          <w:rFonts w:hint="eastAsia"/>
          <w:lang w:val="en-US" w:eastAsia="zh-CN"/>
        </w:rPr>
        <w:t>根据</w:t>
      </w:r>
      <w:r>
        <w:rPr>
          <w:rFonts w:hint="eastAsia"/>
          <w:lang w:eastAsia="zh-CN"/>
        </w:rPr>
        <w:t>绩效评价工作组</w:t>
      </w:r>
      <w:r>
        <w:rPr>
          <w:rFonts w:hint="eastAsia"/>
        </w:rPr>
        <w:t>对</w:t>
      </w:r>
      <w:r>
        <w:rPr>
          <w:rFonts w:hint="eastAsia"/>
          <w:lang w:eastAsia="zh-CN"/>
        </w:rPr>
        <w:t>办案（业务）经费</w:t>
      </w:r>
      <w:r>
        <w:rPr>
          <w:rFonts w:hint="eastAsia"/>
        </w:rPr>
        <w:t>绩效评价</w:t>
      </w:r>
      <w:r>
        <w:rPr>
          <w:rFonts w:hint="eastAsia"/>
          <w:lang w:eastAsia="zh-CN"/>
        </w:rPr>
        <w:t>决策</w:t>
      </w:r>
      <w:r>
        <w:rPr>
          <w:rFonts w:hint="eastAsia"/>
        </w:rPr>
        <w:t>、过程、产出和</w:t>
      </w:r>
      <w:r>
        <w:rPr>
          <w:rFonts w:hint="eastAsia"/>
          <w:lang w:eastAsia="zh-CN"/>
        </w:rPr>
        <w:t>效益</w:t>
      </w:r>
      <w:r>
        <w:rPr>
          <w:rFonts w:hint="eastAsia"/>
        </w:rPr>
        <w:t>进行评分；</w:t>
      </w:r>
      <w:r>
        <w:rPr>
          <w:rFonts w:hint="eastAsia"/>
          <w:lang w:eastAsia="zh-CN"/>
        </w:rPr>
        <w:t>办案（业务）经费</w:t>
      </w:r>
      <w:r>
        <w:rPr>
          <w:rFonts w:hint="eastAsia"/>
        </w:rPr>
        <w:t>绩效评价综合得分</w:t>
      </w:r>
      <w:r>
        <w:rPr>
          <w:rFonts w:hint="eastAsia" w:ascii="仿宋" w:hAnsi="仿宋" w:eastAsia="仿宋"/>
          <w:b/>
          <w:bCs/>
          <w:color w:val="auto"/>
          <w:sz w:val="32"/>
          <w:szCs w:val="32"/>
          <w:highlight w:val="none"/>
          <w:lang w:val="en-US" w:eastAsia="zh-CN"/>
        </w:rPr>
        <w:t>9</w:t>
      </w:r>
      <w:r>
        <w:rPr>
          <w:rFonts w:hint="eastAsia" w:ascii="仿宋" w:hAnsi="仿宋"/>
          <w:b/>
          <w:bCs/>
          <w:color w:val="auto"/>
          <w:sz w:val="32"/>
          <w:szCs w:val="32"/>
          <w:highlight w:val="none"/>
          <w:lang w:val="en-US" w:eastAsia="zh-CN"/>
        </w:rPr>
        <w:t>4.48</w:t>
      </w:r>
      <w:r>
        <w:rPr>
          <w:rFonts w:hint="eastAsia"/>
        </w:rPr>
        <w:t>分，对应绩效级别为“</w:t>
      </w:r>
      <w:r>
        <w:rPr>
          <w:rFonts w:hint="eastAsia"/>
          <w:lang w:eastAsia="zh-CN"/>
        </w:rPr>
        <w:t>优</w:t>
      </w:r>
      <w:r>
        <w:rPr>
          <w:rFonts w:hint="eastAsia"/>
        </w:rPr>
        <w:t>”。</w:t>
      </w:r>
    </w:p>
    <w:p w14:paraId="491FDCE5">
      <w:pPr>
        <w:bidi w:val="0"/>
        <w:rPr>
          <w:rFonts w:hint="eastAsia"/>
        </w:rPr>
      </w:pPr>
      <w:r>
        <w:rPr>
          <w:rFonts w:hint="eastAsia"/>
        </w:rPr>
        <w:t>按照评价指标和评分标准，通过数据资料收集、分析、现场访谈及实地核查，</w:t>
      </w:r>
      <w:r>
        <w:rPr>
          <w:rFonts w:hint="eastAsia"/>
          <w:lang w:eastAsia="zh-CN"/>
        </w:rPr>
        <w:t>办案（业务）经费</w:t>
      </w:r>
      <w:r>
        <w:rPr>
          <w:rFonts w:hint="eastAsia"/>
        </w:rPr>
        <w:t>进行客观评价。</w:t>
      </w:r>
    </w:p>
    <w:p w14:paraId="13628E87">
      <w:pPr>
        <w:keepNext w:val="0"/>
        <w:keepLines w:val="0"/>
        <w:pageBreakBefore w:val="0"/>
        <w:widowControl/>
        <w:suppressLineNumbers w:val="0"/>
        <w:kinsoku/>
        <w:wordWrap/>
        <w:overflowPunct/>
        <w:topLinePunct w:val="0"/>
        <w:autoSpaceDE/>
        <w:autoSpaceDN/>
        <w:bidi w:val="0"/>
        <w:adjustRightInd/>
        <w:snapToGrid/>
        <w:ind w:firstLine="643" w:firstLineChars="200"/>
        <w:jc w:val="left"/>
        <w:textAlignment w:val="auto"/>
        <w:rPr>
          <w:rFonts w:hint="eastAsia" w:ascii="仿宋" w:hAnsi="仿宋" w:eastAsia="仿宋"/>
          <w:color w:val="auto"/>
          <w:sz w:val="32"/>
          <w:szCs w:val="32"/>
          <w:highlight w:val="none"/>
        </w:rPr>
      </w:pPr>
      <w:r>
        <w:rPr>
          <w:rFonts w:hint="eastAsia" w:ascii="仿宋" w:hAnsi="仿宋" w:eastAsia="仿宋"/>
          <w:b/>
          <w:bCs/>
          <w:color w:val="auto"/>
          <w:sz w:val="32"/>
          <w:szCs w:val="32"/>
          <w:highlight w:val="none"/>
          <w:lang w:eastAsia="zh-CN"/>
        </w:rPr>
        <w:t>决策</w:t>
      </w:r>
      <w:r>
        <w:rPr>
          <w:rFonts w:hint="eastAsia" w:ascii="仿宋" w:hAnsi="仿宋" w:eastAsia="仿宋"/>
          <w:b/>
          <w:bCs/>
          <w:color w:val="auto"/>
          <w:sz w:val="32"/>
          <w:szCs w:val="32"/>
          <w:highlight w:val="none"/>
        </w:rPr>
        <w:t>方面：</w:t>
      </w:r>
      <w:r>
        <w:rPr>
          <w:rFonts w:hint="eastAsia" w:ascii="仿宋" w:hAnsi="仿宋" w:eastAsia="仿宋"/>
          <w:color w:val="auto"/>
          <w:sz w:val="32"/>
          <w:szCs w:val="32"/>
          <w:highlight w:val="none"/>
        </w:rPr>
        <w:t>项目立项规范，绩效目标</w:t>
      </w:r>
      <w:r>
        <w:rPr>
          <w:rFonts w:hint="eastAsia" w:ascii="仿宋" w:hAnsi="仿宋" w:eastAsia="仿宋"/>
          <w:color w:val="auto"/>
          <w:sz w:val="32"/>
          <w:szCs w:val="32"/>
          <w:highlight w:val="none"/>
          <w:lang w:eastAsia="zh-CN"/>
        </w:rPr>
        <w:t>基本明确</w:t>
      </w:r>
      <w:r>
        <w:rPr>
          <w:rFonts w:hint="eastAsia" w:ascii="仿宋" w:hAnsi="仿宋" w:eastAsia="仿宋"/>
          <w:color w:val="auto"/>
          <w:sz w:val="32"/>
          <w:szCs w:val="32"/>
          <w:highlight w:val="none"/>
        </w:rPr>
        <w:t>。</w:t>
      </w:r>
    </w:p>
    <w:p w14:paraId="38A05174">
      <w:pPr>
        <w:keepNext w:val="0"/>
        <w:keepLines w:val="0"/>
        <w:pageBreakBefore w:val="0"/>
        <w:widowControl/>
        <w:suppressLineNumbers w:val="0"/>
        <w:kinsoku/>
        <w:wordWrap/>
        <w:overflowPunct/>
        <w:topLinePunct w:val="0"/>
        <w:autoSpaceDE/>
        <w:autoSpaceDN/>
        <w:bidi w:val="0"/>
        <w:adjustRightInd/>
        <w:snapToGrid/>
        <w:ind w:firstLine="643" w:firstLineChars="200"/>
        <w:jc w:val="left"/>
        <w:textAlignment w:val="auto"/>
        <w:rPr>
          <w:rFonts w:hint="eastAsia" w:ascii="仿宋" w:hAnsi="仿宋" w:eastAsia="仿宋"/>
          <w:color w:val="auto"/>
          <w:sz w:val="32"/>
          <w:szCs w:val="32"/>
          <w:highlight w:val="none"/>
          <w:lang w:eastAsia="zh-CN"/>
        </w:rPr>
      </w:pPr>
      <w:r>
        <w:rPr>
          <w:rFonts w:hint="eastAsia" w:ascii="仿宋" w:hAnsi="仿宋" w:eastAsia="仿宋"/>
          <w:b/>
          <w:bCs/>
          <w:color w:val="auto"/>
          <w:sz w:val="32"/>
          <w:szCs w:val="32"/>
          <w:highlight w:val="none"/>
        </w:rPr>
        <w:t>过程方面：</w:t>
      </w:r>
      <w:r>
        <w:rPr>
          <w:rFonts w:hint="eastAsia" w:ascii="仿宋" w:hAnsi="仿宋" w:eastAsia="仿宋"/>
          <w:color w:val="auto"/>
          <w:sz w:val="32"/>
          <w:szCs w:val="32"/>
          <w:highlight w:val="none"/>
        </w:rPr>
        <w:t>项目组织管理完善，业务管理制度和财务管理制度基本健全，资金使用安排基本合理</w:t>
      </w:r>
      <w:r>
        <w:rPr>
          <w:rFonts w:hint="eastAsia" w:ascii="仿宋" w:hAnsi="仿宋" w:eastAsia="仿宋"/>
          <w:color w:val="auto"/>
          <w:sz w:val="32"/>
          <w:szCs w:val="32"/>
          <w:highlight w:val="none"/>
          <w:lang w:eastAsia="zh-CN"/>
        </w:rPr>
        <w:t>。</w:t>
      </w:r>
    </w:p>
    <w:p w14:paraId="7EC87758">
      <w:pPr>
        <w:keepNext w:val="0"/>
        <w:keepLines w:val="0"/>
        <w:pageBreakBefore w:val="0"/>
        <w:widowControl/>
        <w:suppressLineNumbers w:val="0"/>
        <w:kinsoku/>
        <w:wordWrap/>
        <w:overflowPunct/>
        <w:topLinePunct w:val="0"/>
        <w:autoSpaceDE/>
        <w:autoSpaceDN/>
        <w:bidi w:val="0"/>
        <w:adjustRightInd/>
        <w:snapToGrid/>
        <w:ind w:firstLine="643" w:firstLineChars="200"/>
        <w:jc w:val="left"/>
        <w:textAlignment w:val="auto"/>
        <w:rPr>
          <w:rFonts w:hint="eastAsia" w:ascii="仿宋" w:hAnsi="仿宋" w:eastAsia="仿宋"/>
          <w:color w:val="auto"/>
          <w:sz w:val="32"/>
          <w:szCs w:val="32"/>
          <w:highlight w:val="none"/>
        </w:rPr>
      </w:pPr>
      <w:r>
        <w:rPr>
          <w:rFonts w:hint="eastAsia" w:ascii="仿宋" w:hAnsi="仿宋" w:eastAsia="仿宋"/>
          <w:b/>
          <w:bCs/>
          <w:color w:val="auto"/>
          <w:sz w:val="32"/>
          <w:szCs w:val="32"/>
          <w:highlight w:val="none"/>
        </w:rPr>
        <w:t>产出和</w:t>
      </w:r>
      <w:r>
        <w:rPr>
          <w:rFonts w:hint="eastAsia" w:ascii="仿宋" w:hAnsi="仿宋" w:eastAsia="仿宋"/>
          <w:b/>
          <w:bCs/>
          <w:color w:val="auto"/>
          <w:sz w:val="32"/>
          <w:szCs w:val="32"/>
          <w:highlight w:val="none"/>
          <w:lang w:eastAsia="zh-CN"/>
        </w:rPr>
        <w:t>效益</w:t>
      </w:r>
      <w:r>
        <w:rPr>
          <w:rFonts w:hint="eastAsia" w:ascii="仿宋" w:hAnsi="仿宋" w:eastAsia="仿宋"/>
          <w:b/>
          <w:bCs/>
          <w:color w:val="auto"/>
          <w:sz w:val="32"/>
          <w:szCs w:val="32"/>
          <w:highlight w:val="none"/>
        </w:rPr>
        <w:t>方面：</w:t>
      </w:r>
      <w:r>
        <w:rPr>
          <w:rFonts w:hint="eastAsia" w:ascii="仿宋" w:hAnsi="仿宋" w:eastAsia="仿宋"/>
          <w:color w:val="auto"/>
          <w:sz w:val="32"/>
          <w:szCs w:val="32"/>
          <w:highlight w:val="none"/>
          <w:lang w:val="en-US" w:eastAsia="zh-CN"/>
        </w:rPr>
        <w:t>项目的总体目标基本完成，</w:t>
      </w:r>
      <w:r>
        <w:rPr>
          <w:rFonts w:hint="eastAsia" w:ascii="仿宋" w:hAnsi="仿宋" w:eastAsia="仿宋"/>
          <w:color w:val="auto"/>
          <w:sz w:val="32"/>
          <w:szCs w:val="32"/>
          <w:highlight w:val="none"/>
        </w:rPr>
        <w:t>通过项目的实施，</w:t>
      </w:r>
      <w:r>
        <w:rPr>
          <w:rFonts w:hint="eastAsia" w:ascii="仿宋" w:hAnsi="仿宋" w:eastAsia="仿宋"/>
          <w:color w:val="auto"/>
          <w:sz w:val="32"/>
          <w:szCs w:val="32"/>
          <w:highlight w:val="none"/>
          <w:lang w:val="en-US" w:eastAsia="zh-CN"/>
        </w:rPr>
        <w:t>保障了赛罕区人民检察院年度工作的运转，确保履行了检察院的职能职责，提升了办案效率。通过项目的开展，取得了</w:t>
      </w:r>
      <w:r>
        <w:rPr>
          <w:rFonts w:hint="eastAsia" w:ascii="仿宋" w:hAnsi="仿宋" w:eastAsia="仿宋"/>
          <w:color w:val="auto"/>
          <w:sz w:val="32"/>
          <w:szCs w:val="32"/>
          <w:highlight w:val="none"/>
        </w:rPr>
        <w:t>较好的社会效益。</w:t>
      </w:r>
    </w:p>
    <w:p w14:paraId="4953B8D1">
      <w:pPr>
        <w:pStyle w:val="2"/>
        <w:ind w:firstLine="640"/>
        <w:rPr>
          <w:color w:val="auto"/>
          <w:sz w:val="32"/>
          <w:szCs w:val="32"/>
        </w:rPr>
      </w:pPr>
      <w:bookmarkStart w:id="65" w:name="_Toc1304"/>
      <w:bookmarkStart w:id="66" w:name="_Toc22787"/>
      <w:r>
        <w:rPr>
          <w:color w:val="auto"/>
          <w:sz w:val="32"/>
          <w:szCs w:val="32"/>
        </w:rPr>
        <w:t>四、绩效评价指标分析</w:t>
      </w:r>
      <w:bookmarkEnd w:id="65"/>
      <w:bookmarkEnd w:id="66"/>
    </w:p>
    <w:p w14:paraId="683C019B">
      <w:pPr>
        <w:pStyle w:val="3"/>
        <w:ind w:firstLine="643"/>
        <w:rPr>
          <w:color w:val="auto"/>
          <w:sz w:val="32"/>
        </w:rPr>
      </w:pPr>
      <w:bookmarkStart w:id="67" w:name="_Toc11535"/>
      <w:bookmarkStart w:id="68" w:name="_Toc29350"/>
      <w:r>
        <w:rPr>
          <w:color w:val="auto"/>
          <w:sz w:val="32"/>
        </w:rPr>
        <w:t>（一）项目决策情况</w:t>
      </w:r>
      <w:bookmarkEnd w:id="67"/>
      <w:bookmarkEnd w:id="68"/>
    </w:p>
    <w:p w14:paraId="15BEA51F">
      <w:pPr>
        <w:bidi w:val="0"/>
        <w:rPr>
          <w:rFonts w:hint="eastAsia"/>
          <w:lang w:val="en-US" w:eastAsia="zh-CN"/>
        </w:rPr>
      </w:pPr>
      <w:r>
        <w:rPr>
          <w:rFonts w:hint="eastAsia"/>
          <w:lang w:val="en-US" w:eastAsia="zh-CN"/>
        </w:rPr>
        <w:t>项目决策情况包括项目立项、绩效目标和资金投入三部分指标，满分共21分，项目单位最终得分21分。</w:t>
      </w:r>
    </w:p>
    <w:p w14:paraId="22A09B57">
      <w:pPr>
        <w:bidi w:val="0"/>
        <w:rPr>
          <w:rFonts w:hint="eastAsia"/>
          <w:lang w:val="en-US" w:eastAsia="zh-CN"/>
        </w:rPr>
      </w:pPr>
      <w:r>
        <w:rPr>
          <w:rFonts w:hint="eastAsia"/>
          <w:lang w:val="en-US" w:eastAsia="zh-CN"/>
        </w:rPr>
        <w:t>项目立项符合国家法律法规、国民经济发展规划和相关政策，符合行业发展规划和政策要求，项目实施内容与部门职责范围相符，属于部门履职所需，项目属于公共财政支持范围，符合中央、地方事权支出责任划分原则，项目不与相关部门同类项目或部门内部相关项目重复，项目按照规定的程序申请设立，审批文件、材料符合相关要求，项目预期产出效益和效果符合正常的业绩水平，与预算确定的项目投资额或资金量相匹配，预算编制经过科学论证，预算内容与项目内容匹配，预算额度测算依据基本充分，预算确定的项目资金量与工作任务基本匹配，资金分配额度基本合理，与项目单位资金使用内容相适应。</w:t>
      </w:r>
    </w:p>
    <w:p w14:paraId="14C45A5C">
      <w:pPr>
        <w:bidi w:val="0"/>
        <w:rPr>
          <w:rFonts w:hint="eastAsia"/>
          <w:lang w:val="en-US" w:eastAsia="zh-CN"/>
        </w:rPr>
      </w:pPr>
      <w:r>
        <w:rPr>
          <w:rFonts w:hint="eastAsia"/>
          <w:lang w:val="en-US" w:eastAsia="zh-CN"/>
        </w:rPr>
        <w:t>办案（业务）经费总体目标与现阶段目标相符合，项目绩效目标中明确阐述了项目的实施目的，目标较为清晰明确，项目绩效目标、产出及效果指标总体设定较为合理。</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25"/>
        <w:gridCol w:w="3054"/>
        <w:gridCol w:w="1358"/>
        <w:gridCol w:w="2761"/>
      </w:tblGrid>
      <w:tr w14:paraId="48AEE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jc w:val="center"/>
        </w:trPr>
        <w:tc>
          <w:tcPr>
            <w:tcW w:w="1058" w:type="pct"/>
            <w:tcBorders>
              <w:tl2br w:val="nil"/>
              <w:tr2bl w:val="nil"/>
            </w:tcBorders>
            <w:tcMar>
              <w:top w:w="15" w:type="dxa"/>
              <w:left w:w="15" w:type="dxa"/>
              <w:right w:w="15" w:type="dxa"/>
            </w:tcMar>
            <w:vAlign w:val="center"/>
          </w:tcPr>
          <w:p w14:paraId="1C8C47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指标</w:t>
            </w:r>
          </w:p>
        </w:tc>
        <w:tc>
          <w:tcPr>
            <w:tcW w:w="1677" w:type="pct"/>
            <w:tcBorders>
              <w:tl2br w:val="nil"/>
              <w:tr2bl w:val="nil"/>
            </w:tcBorders>
            <w:tcMar>
              <w:top w:w="15" w:type="dxa"/>
              <w:left w:w="15" w:type="dxa"/>
              <w:right w:w="15" w:type="dxa"/>
            </w:tcMar>
            <w:vAlign w:val="center"/>
          </w:tcPr>
          <w:p w14:paraId="2F1304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指标内容</w:t>
            </w:r>
          </w:p>
        </w:tc>
        <w:tc>
          <w:tcPr>
            <w:tcW w:w="746" w:type="pct"/>
            <w:tcBorders>
              <w:tl2br w:val="nil"/>
              <w:tr2bl w:val="nil"/>
            </w:tcBorders>
            <w:tcMar>
              <w:top w:w="15" w:type="dxa"/>
              <w:left w:w="15" w:type="dxa"/>
              <w:right w:w="15" w:type="dxa"/>
            </w:tcMar>
            <w:vAlign w:val="center"/>
          </w:tcPr>
          <w:p w14:paraId="35E7394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分值</w:t>
            </w:r>
          </w:p>
        </w:tc>
        <w:tc>
          <w:tcPr>
            <w:tcW w:w="1517" w:type="pct"/>
            <w:tcBorders>
              <w:tl2br w:val="nil"/>
              <w:tr2bl w:val="nil"/>
            </w:tcBorders>
            <w:tcMar>
              <w:top w:w="15" w:type="dxa"/>
              <w:left w:w="15" w:type="dxa"/>
              <w:right w:w="15" w:type="dxa"/>
            </w:tcMar>
            <w:vAlign w:val="center"/>
          </w:tcPr>
          <w:p w14:paraId="492994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得分</w:t>
            </w:r>
          </w:p>
        </w:tc>
      </w:tr>
      <w:tr w14:paraId="07754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1058" w:type="pct"/>
            <w:vMerge w:val="restart"/>
            <w:tcBorders>
              <w:tl2br w:val="nil"/>
              <w:tr2bl w:val="nil"/>
            </w:tcBorders>
            <w:tcMar>
              <w:top w:w="15" w:type="dxa"/>
              <w:left w:w="15" w:type="dxa"/>
              <w:right w:w="15" w:type="dxa"/>
            </w:tcMar>
            <w:vAlign w:val="center"/>
          </w:tcPr>
          <w:p w14:paraId="1C1263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项目立项</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8分</w:t>
            </w:r>
            <w:r>
              <w:rPr>
                <w:rFonts w:hint="eastAsia" w:ascii="仿宋" w:hAnsi="仿宋" w:eastAsia="仿宋" w:cs="仿宋"/>
                <w:color w:val="auto"/>
                <w:kern w:val="0"/>
                <w:sz w:val="28"/>
                <w:szCs w:val="28"/>
                <w:lang w:eastAsia="zh-CN"/>
              </w:rPr>
              <w:t>）</w:t>
            </w:r>
          </w:p>
        </w:tc>
        <w:tc>
          <w:tcPr>
            <w:tcW w:w="1677" w:type="pct"/>
            <w:tcBorders>
              <w:tl2br w:val="nil"/>
              <w:tr2bl w:val="nil"/>
            </w:tcBorders>
            <w:tcMar>
              <w:top w:w="15" w:type="dxa"/>
              <w:left w:w="15" w:type="dxa"/>
              <w:right w:w="15" w:type="dxa"/>
            </w:tcMar>
            <w:vAlign w:val="center"/>
          </w:tcPr>
          <w:p w14:paraId="6434459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立项依据充分</w:t>
            </w:r>
            <w:r>
              <w:rPr>
                <w:rFonts w:hint="eastAsia" w:ascii="仿宋" w:hAnsi="仿宋" w:eastAsia="仿宋" w:cs="仿宋"/>
                <w:color w:val="auto"/>
                <w:kern w:val="0"/>
                <w:sz w:val="28"/>
                <w:szCs w:val="28"/>
                <w:lang w:eastAsia="zh-Hans"/>
              </w:rPr>
              <w:t>性</w:t>
            </w:r>
          </w:p>
        </w:tc>
        <w:tc>
          <w:tcPr>
            <w:tcW w:w="746" w:type="pct"/>
            <w:tcBorders>
              <w:tl2br w:val="nil"/>
              <w:tr2bl w:val="nil"/>
            </w:tcBorders>
            <w:tcMar>
              <w:top w:w="15" w:type="dxa"/>
              <w:left w:w="15" w:type="dxa"/>
              <w:right w:w="15" w:type="dxa"/>
            </w:tcMar>
            <w:vAlign w:val="center"/>
          </w:tcPr>
          <w:p w14:paraId="7AD2C5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val="en-US" w:eastAsia="zh-CN" w:bidi="ar"/>
              </w:rPr>
              <w:t>5</w:t>
            </w:r>
          </w:p>
        </w:tc>
        <w:tc>
          <w:tcPr>
            <w:tcW w:w="1517" w:type="pct"/>
            <w:tcBorders>
              <w:tl2br w:val="nil"/>
              <w:tr2bl w:val="nil"/>
            </w:tcBorders>
            <w:tcMar>
              <w:top w:w="15" w:type="dxa"/>
              <w:left w:w="15" w:type="dxa"/>
              <w:right w:w="15" w:type="dxa"/>
            </w:tcMar>
            <w:vAlign w:val="center"/>
          </w:tcPr>
          <w:p w14:paraId="36ED0D8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val="en-US" w:eastAsia="zh-CN" w:bidi="ar"/>
              </w:rPr>
              <w:t>5</w:t>
            </w:r>
          </w:p>
        </w:tc>
      </w:tr>
      <w:tr w14:paraId="2E1BD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atLeast"/>
          <w:jc w:val="center"/>
        </w:trPr>
        <w:tc>
          <w:tcPr>
            <w:tcW w:w="1058" w:type="pct"/>
            <w:vMerge w:val="continue"/>
            <w:tcBorders>
              <w:tl2br w:val="nil"/>
              <w:tr2bl w:val="nil"/>
            </w:tcBorders>
            <w:tcMar>
              <w:top w:w="15" w:type="dxa"/>
              <w:left w:w="15" w:type="dxa"/>
              <w:right w:w="15" w:type="dxa"/>
            </w:tcMar>
            <w:vAlign w:val="center"/>
          </w:tcPr>
          <w:p w14:paraId="1290E011">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 w:hAnsi="仿宋" w:eastAsia="仿宋" w:cs="仿宋"/>
                <w:color w:val="auto"/>
                <w:sz w:val="28"/>
                <w:szCs w:val="28"/>
              </w:rPr>
            </w:pPr>
          </w:p>
        </w:tc>
        <w:tc>
          <w:tcPr>
            <w:tcW w:w="1677" w:type="pct"/>
            <w:tcBorders>
              <w:tl2br w:val="nil"/>
              <w:tr2bl w:val="nil"/>
            </w:tcBorders>
            <w:tcMar>
              <w:top w:w="15" w:type="dxa"/>
              <w:left w:w="15" w:type="dxa"/>
              <w:right w:w="15" w:type="dxa"/>
            </w:tcMar>
            <w:vAlign w:val="center"/>
          </w:tcPr>
          <w:p w14:paraId="4AD222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立项程序合规性</w:t>
            </w:r>
          </w:p>
        </w:tc>
        <w:tc>
          <w:tcPr>
            <w:tcW w:w="746" w:type="pct"/>
            <w:tcBorders>
              <w:tl2br w:val="nil"/>
              <w:tr2bl w:val="nil"/>
            </w:tcBorders>
            <w:tcMar>
              <w:top w:w="15" w:type="dxa"/>
              <w:left w:w="15" w:type="dxa"/>
              <w:right w:w="15" w:type="dxa"/>
            </w:tcMar>
            <w:vAlign w:val="center"/>
          </w:tcPr>
          <w:p w14:paraId="18F426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val="en-US" w:eastAsia="zh-CN" w:bidi="ar"/>
              </w:rPr>
              <w:t>3</w:t>
            </w:r>
          </w:p>
        </w:tc>
        <w:tc>
          <w:tcPr>
            <w:tcW w:w="1517" w:type="pct"/>
            <w:tcBorders>
              <w:tl2br w:val="nil"/>
              <w:tr2bl w:val="nil"/>
            </w:tcBorders>
            <w:tcMar>
              <w:top w:w="15" w:type="dxa"/>
              <w:left w:w="15" w:type="dxa"/>
              <w:right w:w="15" w:type="dxa"/>
            </w:tcMar>
            <w:vAlign w:val="center"/>
          </w:tcPr>
          <w:p w14:paraId="03BB2D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val="en-US" w:eastAsia="zh-CN" w:bidi="ar"/>
              </w:rPr>
              <w:t>3</w:t>
            </w:r>
          </w:p>
        </w:tc>
      </w:tr>
      <w:tr w14:paraId="05818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058" w:type="pct"/>
            <w:vMerge w:val="restart"/>
            <w:tcBorders>
              <w:tl2br w:val="nil"/>
              <w:tr2bl w:val="nil"/>
            </w:tcBorders>
            <w:tcMar>
              <w:top w:w="15" w:type="dxa"/>
              <w:left w:w="15" w:type="dxa"/>
              <w:right w:w="15" w:type="dxa"/>
            </w:tcMar>
            <w:vAlign w:val="center"/>
          </w:tcPr>
          <w:p w14:paraId="489D6E4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绩效目标</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7分</w:t>
            </w:r>
            <w:r>
              <w:rPr>
                <w:rFonts w:hint="eastAsia" w:ascii="仿宋" w:hAnsi="仿宋" w:eastAsia="仿宋" w:cs="仿宋"/>
                <w:color w:val="auto"/>
                <w:kern w:val="0"/>
                <w:sz w:val="28"/>
                <w:szCs w:val="28"/>
                <w:lang w:eastAsia="zh-CN"/>
              </w:rPr>
              <w:t>）</w:t>
            </w:r>
          </w:p>
        </w:tc>
        <w:tc>
          <w:tcPr>
            <w:tcW w:w="1677" w:type="pct"/>
            <w:tcBorders>
              <w:tl2br w:val="nil"/>
              <w:tr2bl w:val="nil"/>
            </w:tcBorders>
            <w:tcMar>
              <w:top w:w="15" w:type="dxa"/>
              <w:left w:w="15" w:type="dxa"/>
              <w:right w:w="15" w:type="dxa"/>
            </w:tcMar>
            <w:vAlign w:val="center"/>
          </w:tcPr>
          <w:p w14:paraId="7BDDEF2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绩效目标合理性</w:t>
            </w:r>
          </w:p>
        </w:tc>
        <w:tc>
          <w:tcPr>
            <w:tcW w:w="746" w:type="pct"/>
            <w:tcBorders>
              <w:tl2br w:val="nil"/>
              <w:tr2bl w:val="nil"/>
            </w:tcBorders>
            <w:tcMar>
              <w:top w:w="15" w:type="dxa"/>
              <w:left w:w="15" w:type="dxa"/>
              <w:right w:w="15" w:type="dxa"/>
            </w:tcMar>
            <w:vAlign w:val="center"/>
          </w:tcPr>
          <w:p w14:paraId="4676B3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p>
        </w:tc>
        <w:tc>
          <w:tcPr>
            <w:tcW w:w="1517" w:type="pct"/>
            <w:tcBorders>
              <w:tl2br w:val="nil"/>
              <w:tr2bl w:val="nil"/>
            </w:tcBorders>
            <w:tcMar>
              <w:top w:w="15" w:type="dxa"/>
              <w:left w:w="15" w:type="dxa"/>
              <w:right w:w="15" w:type="dxa"/>
            </w:tcMar>
            <w:vAlign w:val="center"/>
          </w:tcPr>
          <w:p w14:paraId="322C96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p>
        </w:tc>
      </w:tr>
      <w:tr w14:paraId="04E2E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 w:hRule="atLeast"/>
          <w:jc w:val="center"/>
        </w:trPr>
        <w:tc>
          <w:tcPr>
            <w:tcW w:w="1058" w:type="pct"/>
            <w:vMerge w:val="continue"/>
            <w:tcBorders>
              <w:tl2br w:val="nil"/>
              <w:tr2bl w:val="nil"/>
            </w:tcBorders>
            <w:tcMar>
              <w:top w:w="15" w:type="dxa"/>
              <w:left w:w="15" w:type="dxa"/>
              <w:right w:w="15" w:type="dxa"/>
            </w:tcMar>
            <w:vAlign w:val="center"/>
          </w:tcPr>
          <w:p w14:paraId="02A45D89">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 w:hAnsi="仿宋" w:eastAsia="仿宋" w:cs="仿宋"/>
                <w:color w:val="auto"/>
                <w:sz w:val="28"/>
                <w:szCs w:val="28"/>
              </w:rPr>
            </w:pPr>
          </w:p>
        </w:tc>
        <w:tc>
          <w:tcPr>
            <w:tcW w:w="1677" w:type="pct"/>
            <w:tcBorders>
              <w:tl2br w:val="nil"/>
              <w:tr2bl w:val="nil"/>
            </w:tcBorders>
            <w:tcMar>
              <w:top w:w="15" w:type="dxa"/>
              <w:left w:w="15" w:type="dxa"/>
              <w:right w:w="15" w:type="dxa"/>
            </w:tcMar>
            <w:vAlign w:val="center"/>
          </w:tcPr>
          <w:p w14:paraId="387477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绩效指标明确性</w:t>
            </w:r>
          </w:p>
        </w:tc>
        <w:tc>
          <w:tcPr>
            <w:tcW w:w="746" w:type="pct"/>
            <w:tcBorders>
              <w:tl2br w:val="nil"/>
              <w:tr2bl w:val="nil"/>
            </w:tcBorders>
            <w:tcMar>
              <w:top w:w="15" w:type="dxa"/>
              <w:left w:w="15" w:type="dxa"/>
              <w:right w:w="15" w:type="dxa"/>
            </w:tcMar>
            <w:vAlign w:val="center"/>
          </w:tcPr>
          <w:p w14:paraId="43CEC7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p>
        </w:tc>
        <w:tc>
          <w:tcPr>
            <w:tcW w:w="1517" w:type="pct"/>
            <w:tcBorders>
              <w:tl2br w:val="nil"/>
              <w:tr2bl w:val="nil"/>
            </w:tcBorders>
            <w:tcMar>
              <w:top w:w="15" w:type="dxa"/>
              <w:left w:w="15" w:type="dxa"/>
              <w:right w:w="15" w:type="dxa"/>
            </w:tcMar>
            <w:vAlign w:val="center"/>
          </w:tcPr>
          <w:p w14:paraId="317177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p>
        </w:tc>
      </w:tr>
      <w:tr w14:paraId="44E96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3" w:hRule="atLeast"/>
          <w:jc w:val="center"/>
        </w:trPr>
        <w:tc>
          <w:tcPr>
            <w:tcW w:w="1058" w:type="pct"/>
            <w:vMerge w:val="restart"/>
            <w:tcBorders>
              <w:tl2br w:val="nil"/>
              <w:tr2bl w:val="nil"/>
            </w:tcBorders>
            <w:tcMar>
              <w:top w:w="15" w:type="dxa"/>
              <w:left w:w="15" w:type="dxa"/>
              <w:right w:w="15" w:type="dxa"/>
            </w:tcMar>
            <w:vAlign w:val="center"/>
          </w:tcPr>
          <w:p w14:paraId="12A1A4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资金投入</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6分</w:t>
            </w:r>
            <w:r>
              <w:rPr>
                <w:rFonts w:hint="eastAsia" w:ascii="仿宋" w:hAnsi="仿宋" w:eastAsia="仿宋" w:cs="仿宋"/>
                <w:color w:val="auto"/>
                <w:kern w:val="0"/>
                <w:sz w:val="28"/>
                <w:szCs w:val="28"/>
                <w:lang w:eastAsia="zh-CN"/>
              </w:rPr>
              <w:t>）</w:t>
            </w:r>
          </w:p>
        </w:tc>
        <w:tc>
          <w:tcPr>
            <w:tcW w:w="1677" w:type="pct"/>
            <w:tcBorders>
              <w:tl2br w:val="nil"/>
              <w:tr2bl w:val="nil"/>
            </w:tcBorders>
            <w:tcMar>
              <w:top w:w="15" w:type="dxa"/>
              <w:left w:w="15" w:type="dxa"/>
              <w:right w:w="15" w:type="dxa"/>
            </w:tcMar>
            <w:vAlign w:val="center"/>
          </w:tcPr>
          <w:p w14:paraId="47EC6D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预算编制科学性</w:t>
            </w:r>
          </w:p>
        </w:tc>
        <w:tc>
          <w:tcPr>
            <w:tcW w:w="746" w:type="pct"/>
            <w:tcBorders>
              <w:tl2br w:val="nil"/>
              <w:tr2bl w:val="nil"/>
            </w:tcBorders>
            <w:tcMar>
              <w:top w:w="15" w:type="dxa"/>
              <w:left w:w="15" w:type="dxa"/>
              <w:right w:w="15" w:type="dxa"/>
            </w:tcMar>
            <w:vAlign w:val="center"/>
          </w:tcPr>
          <w:p w14:paraId="262E3E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p>
        </w:tc>
        <w:tc>
          <w:tcPr>
            <w:tcW w:w="1517" w:type="pct"/>
            <w:tcBorders>
              <w:tl2br w:val="nil"/>
              <w:tr2bl w:val="nil"/>
            </w:tcBorders>
            <w:tcMar>
              <w:top w:w="15" w:type="dxa"/>
              <w:left w:w="15" w:type="dxa"/>
              <w:right w:w="15" w:type="dxa"/>
            </w:tcMar>
            <w:vAlign w:val="center"/>
          </w:tcPr>
          <w:p w14:paraId="74848E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p>
        </w:tc>
      </w:tr>
      <w:tr w14:paraId="4C06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jc w:val="center"/>
        </w:trPr>
        <w:tc>
          <w:tcPr>
            <w:tcW w:w="1058" w:type="pct"/>
            <w:vMerge w:val="continue"/>
            <w:tcBorders>
              <w:tl2br w:val="nil"/>
              <w:tr2bl w:val="nil"/>
            </w:tcBorders>
            <w:tcMar>
              <w:top w:w="15" w:type="dxa"/>
              <w:left w:w="15" w:type="dxa"/>
              <w:right w:w="15" w:type="dxa"/>
            </w:tcMar>
            <w:vAlign w:val="center"/>
          </w:tcPr>
          <w:p w14:paraId="3909C3B9">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 w:hAnsi="仿宋" w:eastAsia="仿宋" w:cs="仿宋"/>
                <w:color w:val="auto"/>
                <w:sz w:val="28"/>
                <w:szCs w:val="28"/>
              </w:rPr>
            </w:pPr>
          </w:p>
        </w:tc>
        <w:tc>
          <w:tcPr>
            <w:tcW w:w="1677" w:type="pct"/>
            <w:tcBorders>
              <w:tl2br w:val="nil"/>
              <w:tr2bl w:val="nil"/>
            </w:tcBorders>
            <w:tcMar>
              <w:top w:w="15" w:type="dxa"/>
              <w:left w:w="15" w:type="dxa"/>
              <w:right w:w="15" w:type="dxa"/>
            </w:tcMar>
            <w:vAlign w:val="center"/>
          </w:tcPr>
          <w:p w14:paraId="3BBD48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资金分配合理性</w:t>
            </w:r>
          </w:p>
        </w:tc>
        <w:tc>
          <w:tcPr>
            <w:tcW w:w="746" w:type="pct"/>
            <w:tcBorders>
              <w:tl2br w:val="nil"/>
              <w:tr2bl w:val="nil"/>
            </w:tcBorders>
            <w:tcMar>
              <w:top w:w="15" w:type="dxa"/>
              <w:left w:w="15" w:type="dxa"/>
              <w:right w:w="15" w:type="dxa"/>
            </w:tcMar>
            <w:vAlign w:val="center"/>
          </w:tcPr>
          <w:p w14:paraId="1D29EF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auto"/>
                <w:sz w:val="28"/>
                <w:szCs w:val="28"/>
              </w:rPr>
            </w:pPr>
            <w:r>
              <w:rPr>
                <w:rFonts w:ascii="仿宋" w:hAnsi="仿宋" w:eastAsia="仿宋" w:cs="仿宋"/>
                <w:color w:val="auto"/>
                <w:sz w:val="28"/>
                <w:szCs w:val="28"/>
              </w:rPr>
              <w:t>2</w:t>
            </w:r>
          </w:p>
        </w:tc>
        <w:tc>
          <w:tcPr>
            <w:tcW w:w="1517" w:type="pct"/>
            <w:tcBorders>
              <w:tl2br w:val="nil"/>
              <w:tr2bl w:val="nil"/>
            </w:tcBorders>
            <w:tcMar>
              <w:top w:w="15" w:type="dxa"/>
              <w:left w:w="15" w:type="dxa"/>
              <w:right w:w="15" w:type="dxa"/>
            </w:tcMar>
            <w:vAlign w:val="center"/>
          </w:tcPr>
          <w:p w14:paraId="5E9858C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auto"/>
                <w:sz w:val="28"/>
                <w:szCs w:val="28"/>
              </w:rPr>
            </w:pPr>
            <w:r>
              <w:rPr>
                <w:rFonts w:hint="eastAsia" w:ascii="仿宋" w:hAnsi="仿宋" w:eastAsia="仿宋" w:cs="仿宋"/>
                <w:color w:val="auto"/>
                <w:kern w:val="0"/>
                <w:sz w:val="28"/>
                <w:szCs w:val="28"/>
                <w:lang w:bidi="ar"/>
              </w:rPr>
              <w:t>2</w:t>
            </w:r>
          </w:p>
        </w:tc>
      </w:tr>
      <w:tr w14:paraId="6983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5" w:hRule="atLeast"/>
          <w:jc w:val="center"/>
        </w:trPr>
        <w:tc>
          <w:tcPr>
            <w:tcW w:w="2736" w:type="pct"/>
            <w:gridSpan w:val="2"/>
            <w:tcBorders>
              <w:tl2br w:val="nil"/>
              <w:tr2bl w:val="nil"/>
            </w:tcBorders>
            <w:tcMar>
              <w:top w:w="15" w:type="dxa"/>
              <w:left w:w="15" w:type="dxa"/>
              <w:right w:w="15" w:type="dxa"/>
            </w:tcMar>
            <w:vAlign w:val="center"/>
          </w:tcPr>
          <w:p w14:paraId="1CE50AE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合计</w:t>
            </w:r>
          </w:p>
        </w:tc>
        <w:tc>
          <w:tcPr>
            <w:tcW w:w="746" w:type="pct"/>
            <w:tcBorders>
              <w:tl2br w:val="nil"/>
              <w:tr2bl w:val="nil"/>
            </w:tcBorders>
            <w:tcMar>
              <w:top w:w="15" w:type="dxa"/>
              <w:left w:w="15" w:type="dxa"/>
              <w:right w:w="15" w:type="dxa"/>
            </w:tcMar>
            <w:vAlign w:val="center"/>
          </w:tcPr>
          <w:p w14:paraId="6C15C2D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21</w:t>
            </w:r>
          </w:p>
        </w:tc>
        <w:tc>
          <w:tcPr>
            <w:tcW w:w="1517" w:type="pct"/>
            <w:tcBorders>
              <w:tl2br w:val="nil"/>
              <w:tr2bl w:val="nil"/>
            </w:tcBorders>
            <w:tcMar>
              <w:top w:w="15" w:type="dxa"/>
              <w:left w:w="15" w:type="dxa"/>
              <w:right w:w="15" w:type="dxa"/>
            </w:tcMar>
            <w:vAlign w:val="center"/>
          </w:tcPr>
          <w:p w14:paraId="41F4E2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21</w:t>
            </w:r>
          </w:p>
        </w:tc>
      </w:tr>
    </w:tbl>
    <w:p w14:paraId="64180D7E">
      <w:pPr>
        <w:pStyle w:val="3"/>
        <w:numPr>
          <w:ilvl w:val="0"/>
          <w:numId w:val="1"/>
        </w:numPr>
        <w:ind w:firstLine="643"/>
        <w:rPr>
          <w:color w:val="auto"/>
          <w:sz w:val="32"/>
        </w:rPr>
      </w:pPr>
      <w:bookmarkStart w:id="69" w:name="_Toc19668"/>
      <w:bookmarkStart w:id="70" w:name="_Toc26229"/>
      <w:r>
        <w:rPr>
          <w:color w:val="auto"/>
          <w:sz w:val="32"/>
        </w:rPr>
        <w:t>项目过程情况</w:t>
      </w:r>
      <w:bookmarkEnd w:id="69"/>
      <w:bookmarkEnd w:id="70"/>
    </w:p>
    <w:p w14:paraId="4DF8D36C">
      <w:pPr>
        <w:bidi w:val="0"/>
        <w:rPr>
          <w:rFonts w:hint="eastAsia"/>
          <w:lang w:val="en-US" w:eastAsia="zh-CN"/>
        </w:rPr>
      </w:pPr>
      <w:r>
        <w:rPr>
          <w:rFonts w:hint="eastAsia"/>
          <w:lang w:val="en-US" w:eastAsia="zh-CN"/>
        </w:rPr>
        <w:t>项目过程情况包括资金管理和组织实施两部分指标，满分共19分，本项目得分17.98分。</w:t>
      </w:r>
    </w:p>
    <w:p w14:paraId="6BD749E0">
      <w:pPr>
        <w:bidi w:val="0"/>
        <w:rPr>
          <w:rFonts w:hint="eastAsia"/>
          <w:lang w:val="en-US" w:eastAsia="zh-CN"/>
        </w:rPr>
      </w:pPr>
      <w:r>
        <w:rPr>
          <w:rFonts w:hint="eastAsia"/>
          <w:lang w:val="en-US" w:eastAsia="zh-CN"/>
        </w:rPr>
        <w:t>截至2024年12月31日，项目</w:t>
      </w:r>
      <w:r>
        <w:rPr>
          <w:rFonts w:hint="eastAsia"/>
          <w:lang w:val="en-US" w:eastAsia="zh-Hans"/>
        </w:rPr>
        <w:t>在进行过程中所</w:t>
      </w:r>
      <w:r>
        <w:rPr>
          <w:rFonts w:hint="eastAsia"/>
          <w:lang w:val="en-US" w:eastAsia="zh-CN"/>
        </w:rPr>
        <w:t>申请</w:t>
      </w:r>
      <w:r>
        <w:rPr>
          <w:rFonts w:hint="eastAsia"/>
          <w:lang w:val="en-US" w:eastAsia="zh-Hans"/>
        </w:rPr>
        <w:t>的</w:t>
      </w:r>
      <w:r>
        <w:rPr>
          <w:rFonts w:hint="eastAsia"/>
          <w:lang w:val="en-US" w:eastAsia="zh-CN"/>
        </w:rPr>
        <w:t>资金</w:t>
      </w:r>
      <w:r>
        <w:rPr>
          <w:rFonts w:hint="eastAsia"/>
          <w:lang w:val="en-US" w:eastAsia="zh-Hans"/>
        </w:rPr>
        <w:t>到位523.78</w:t>
      </w:r>
      <w:r>
        <w:rPr>
          <w:rFonts w:hint="eastAsia"/>
          <w:lang w:val="en-US" w:eastAsia="zh-CN"/>
        </w:rPr>
        <w:t>万元，资金到位率100%。项目预算资金按照计划支出，截止至2024年12月，项目资金支出522.88万元，预算执行率为99.83%。项目资金支出符合国家财经法规和财务管理制度以及有关专项资金管理办法的规定，资金的拨付有完善的审批程序和手续，符合项目预算批复、实施计划要求；项目资金不存在截留、挤占、挪用、虚列支出等情况。</w:t>
      </w:r>
    </w:p>
    <w:p w14:paraId="350D314C">
      <w:pPr>
        <w:bidi w:val="0"/>
        <w:rPr>
          <w:rFonts w:hint="eastAsia" w:ascii="仿宋" w:hAnsi="仿宋" w:eastAsia="仿宋"/>
          <w:color w:val="auto"/>
          <w:szCs w:val="32"/>
          <w:highlight w:val="none"/>
          <w:lang w:val="en-US" w:eastAsia="zh-CN"/>
        </w:rPr>
      </w:pPr>
      <w:r>
        <w:rPr>
          <w:rFonts w:hint="eastAsia"/>
          <w:lang w:val="en-US" w:eastAsia="zh-CN"/>
        </w:rPr>
        <w:t>呼和浩特市赛罕区人民检察院依据《内蒙古自治区本级项目支出预算管理办法》，制定了《呼和浩特市赛罕区人民检察院项目经费管理办法》《呼和浩特市赛罕区人民检察院财务管理制度》《呼和浩特市赛罕区人民检察院绩效管理办法（试行）》等管理制度，财务和业务管理制度合法、合规、完整。</w:t>
      </w:r>
      <w:r>
        <w:rPr>
          <w:rFonts w:hint="eastAsia"/>
          <w:lang w:val="en-US" w:eastAsia="zh-Hans"/>
        </w:rPr>
        <w:t>项目的执行</w:t>
      </w:r>
      <w:r>
        <w:rPr>
          <w:rFonts w:hint="eastAsia"/>
          <w:lang w:val="en-US" w:eastAsia="zh-CN"/>
        </w:rPr>
        <w:t>遵守相关法律法规和相关管理规定，项目支出调整手续完备，通过上述分析，制度执行是有效的。</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15"/>
        <w:gridCol w:w="3386"/>
        <w:gridCol w:w="1680"/>
        <w:gridCol w:w="2017"/>
      </w:tblGrid>
      <w:tr w14:paraId="36E40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atLeast"/>
          <w:tblHeader/>
          <w:jc w:val="center"/>
        </w:trPr>
        <w:tc>
          <w:tcPr>
            <w:tcW w:w="1107" w:type="pct"/>
            <w:vMerge w:val="restart"/>
            <w:tcBorders>
              <w:tl2br w:val="nil"/>
              <w:tr2bl w:val="nil"/>
            </w:tcBorders>
            <w:tcMar>
              <w:top w:w="15" w:type="dxa"/>
              <w:left w:w="15" w:type="dxa"/>
              <w:right w:w="15" w:type="dxa"/>
            </w:tcMar>
            <w:vAlign w:val="center"/>
          </w:tcPr>
          <w:p w14:paraId="0BFF4B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指标</w:t>
            </w:r>
          </w:p>
        </w:tc>
        <w:tc>
          <w:tcPr>
            <w:tcW w:w="1860" w:type="pct"/>
            <w:tcBorders>
              <w:tl2br w:val="nil"/>
              <w:tr2bl w:val="nil"/>
            </w:tcBorders>
            <w:tcMar>
              <w:top w:w="15" w:type="dxa"/>
              <w:left w:w="15" w:type="dxa"/>
              <w:right w:w="15" w:type="dxa"/>
            </w:tcMar>
            <w:vAlign w:val="center"/>
          </w:tcPr>
          <w:p w14:paraId="42D29FF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指标内容</w:t>
            </w:r>
          </w:p>
        </w:tc>
        <w:tc>
          <w:tcPr>
            <w:tcW w:w="923" w:type="pct"/>
            <w:tcBorders>
              <w:tl2br w:val="nil"/>
              <w:tr2bl w:val="nil"/>
            </w:tcBorders>
            <w:tcMar>
              <w:top w:w="15" w:type="dxa"/>
              <w:left w:w="15" w:type="dxa"/>
              <w:right w:w="15" w:type="dxa"/>
            </w:tcMar>
            <w:vAlign w:val="center"/>
          </w:tcPr>
          <w:p w14:paraId="2C755B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分值</w:t>
            </w:r>
          </w:p>
        </w:tc>
        <w:tc>
          <w:tcPr>
            <w:tcW w:w="1108" w:type="pct"/>
            <w:tcBorders>
              <w:tl2br w:val="nil"/>
              <w:tr2bl w:val="nil"/>
            </w:tcBorders>
            <w:tcMar>
              <w:top w:w="15" w:type="dxa"/>
              <w:left w:w="15" w:type="dxa"/>
              <w:right w:w="15" w:type="dxa"/>
            </w:tcMar>
            <w:vAlign w:val="center"/>
          </w:tcPr>
          <w:p w14:paraId="21EF5E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得分</w:t>
            </w:r>
          </w:p>
        </w:tc>
      </w:tr>
      <w:tr w14:paraId="15744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9" w:hRule="atLeast"/>
          <w:jc w:val="center"/>
        </w:trPr>
        <w:tc>
          <w:tcPr>
            <w:tcW w:w="1107" w:type="pct"/>
            <w:vMerge w:val="restart"/>
            <w:tcBorders>
              <w:tl2br w:val="nil"/>
              <w:tr2bl w:val="nil"/>
            </w:tcBorders>
            <w:tcMar>
              <w:top w:w="15" w:type="dxa"/>
              <w:left w:w="15" w:type="dxa"/>
              <w:right w:w="15" w:type="dxa"/>
            </w:tcMar>
            <w:vAlign w:val="center"/>
          </w:tcPr>
          <w:p w14:paraId="1CC6568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资金管理</w:t>
            </w:r>
          </w:p>
          <w:p w14:paraId="6FEFC6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13分</w:t>
            </w:r>
            <w:r>
              <w:rPr>
                <w:rFonts w:hint="eastAsia" w:ascii="仿宋" w:hAnsi="仿宋" w:eastAsia="仿宋" w:cs="仿宋"/>
                <w:color w:val="auto"/>
                <w:kern w:val="0"/>
                <w:sz w:val="28"/>
                <w:szCs w:val="28"/>
                <w:lang w:eastAsia="zh-CN"/>
              </w:rPr>
              <w:t>）</w:t>
            </w:r>
          </w:p>
        </w:tc>
        <w:tc>
          <w:tcPr>
            <w:tcW w:w="1860" w:type="pct"/>
            <w:tcBorders>
              <w:tl2br w:val="nil"/>
              <w:tr2bl w:val="nil"/>
            </w:tcBorders>
            <w:tcMar>
              <w:top w:w="15" w:type="dxa"/>
              <w:left w:w="15" w:type="dxa"/>
              <w:right w:w="15" w:type="dxa"/>
            </w:tcMar>
            <w:vAlign w:val="center"/>
          </w:tcPr>
          <w:p w14:paraId="76960F7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资金到位率</w:t>
            </w:r>
          </w:p>
        </w:tc>
        <w:tc>
          <w:tcPr>
            <w:tcW w:w="923" w:type="pct"/>
            <w:tcBorders>
              <w:tl2br w:val="nil"/>
              <w:tr2bl w:val="nil"/>
            </w:tcBorders>
            <w:tcMar>
              <w:top w:w="15" w:type="dxa"/>
              <w:left w:w="15" w:type="dxa"/>
              <w:right w:w="15" w:type="dxa"/>
            </w:tcMar>
            <w:vAlign w:val="center"/>
          </w:tcPr>
          <w:p w14:paraId="4DEF567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val="en-US" w:eastAsia="zh-CN" w:bidi="ar"/>
              </w:rPr>
              <w:t>4</w:t>
            </w:r>
          </w:p>
        </w:tc>
        <w:tc>
          <w:tcPr>
            <w:tcW w:w="1108" w:type="pct"/>
            <w:tcBorders>
              <w:tl2br w:val="nil"/>
              <w:tr2bl w:val="nil"/>
            </w:tcBorders>
            <w:tcMar>
              <w:top w:w="15" w:type="dxa"/>
              <w:left w:w="15" w:type="dxa"/>
              <w:right w:w="15" w:type="dxa"/>
            </w:tcMar>
            <w:vAlign w:val="center"/>
          </w:tcPr>
          <w:p w14:paraId="1537C2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4</w:t>
            </w:r>
          </w:p>
        </w:tc>
      </w:tr>
      <w:tr w14:paraId="7BFBC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1107" w:type="pct"/>
            <w:vMerge w:val="continue"/>
            <w:tcBorders>
              <w:tl2br w:val="nil"/>
              <w:tr2bl w:val="nil"/>
            </w:tcBorders>
            <w:tcMar>
              <w:top w:w="15" w:type="dxa"/>
              <w:left w:w="15" w:type="dxa"/>
              <w:right w:w="15" w:type="dxa"/>
            </w:tcMar>
            <w:vAlign w:val="center"/>
          </w:tcPr>
          <w:p w14:paraId="7CFFF7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 w:hAnsi="仿宋" w:eastAsia="仿宋" w:cs="仿宋"/>
                <w:color w:val="auto"/>
                <w:sz w:val="28"/>
                <w:szCs w:val="28"/>
              </w:rPr>
            </w:pPr>
          </w:p>
        </w:tc>
        <w:tc>
          <w:tcPr>
            <w:tcW w:w="1860" w:type="pct"/>
            <w:tcBorders>
              <w:tl2br w:val="nil"/>
              <w:tr2bl w:val="nil"/>
            </w:tcBorders>
            <w:tcMar>
              <w:top w:w="15" w:type="dxa"/>
              <w:left w:w="15" w:type="dxa"/>
              <w:right w:w="15" w:type="dxa"/>
            </w:tcMar>
            <w:vAlign w:val="center"/>
          </w:tcPr>
          <w:p w14:paraId="26CAB47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预算执行率</w:t>
            </w:r>
          </w:p>
        </w:tc>
        <w:tc>
          <w:tcPr>
            <w:tcW w:w="923" w:type="pct"/>
            <w:tcBorders>
              <w:tl2br w:val="nil"/>
              <w:tr2bl w:val="nil"/>
            </w:tcBorders>
            <w:tcMar>
              <w:top w:w="15" w:type="dxa"/>
              <w:left w:w="15" w:type="dxa"/>
              <w:right w:w="15" w:type="dxa"/>
            </w:tcMar>
            <w:vAlign w:val="center"/>
          </w:tcPr>
          <w:p w14:paraId="45742C4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w:t>
            </w:r>
          </w:p>
        </w:tc>
        <w:tc>
          <w:tcPr>
            <w:tcW w:w="1108" w:type="pct"/>
            <w:tcBorders>
              <w:tl2br w:val="nil"/>
              <w:tr2bl w:val="nil"/>
            </w:tcBorders>
            <w:tcMar>
              <w:top w:w="15" w:type="dxa"/>
              <w:left w:w="15" w:type="dxa"/>
              <w:right w:w="15" w:type="dxa"/>
            </w:tcMar>
            <w:vAlign w:val="center"/>
          </w:tcPr>
          <w:p w14:paraId="1D7F5FF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cs="仿宋"/>
                <w:color w:val="auto"/>
                <w:sz w:val="28"/>
                <w:szCs w:val="28"/>
                <w:lang w:val="en-US" w:eastAsia="zh-CN"/>
              </w:rPr>
              <w:t>4.98</w:t>
            </w:r>
          </w:p>
        </w:tc>
      </w:tr>
      <w:tr w14:paraId="2E3C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 w:hRule="atLeast"/>
          <w:jc w:val="center"/>
        </w:trPr>
        <w:tc>
          <w:tcPr>
            <w:tcW w:w="1107" w:type="pct"/>
            <w:vMerge w:val="continue"/>
            <w:tcBorders>
              <w:tl2br w:val="nil"/>
              <w:tr2bl w:val="nil"/>
            </w:tcBorders>
            <w:tcMar>
              <w:top w:w="15" w:type="dxa"/>
              <w:left w:w="15" w:type="dxa"/>
              <w:right w:w="15" w:type="dxa"/>
            </w:tcMar>
            <w:vAlign w:val="center"/>
          </w:tcPr>
          <w:p w14:paraId="6B3C0D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 w:hAnsi="仿宋" w:eastAsia="仿宋" w:cs="仿宋"/>
                <w:color w:val="auto"/>
                <w:sz w:val="28"/>
                <w:szCs w:val="28"/>
              </w:rPr>
            </w:pPr>
          </w:p>
        </w:tc>
        <w:tc>
          <w:tcPr>
            <w:tcW w:w="1860" w:type="pct"/>
            <w:tcBorders>
              <w:tl2br w:val="nil"/>
              <w:tr2bl w:val="nil"/>
            </w:tcBorders>
            <w:tcMar>
              <w:top w:w="15" w:type="dxa"/>
              <w:left w:w="15" w:type="dxa"/>
              <w:right w:w="15" w:type="dxa"/>
            </w:tcMar>
            <w:vAlign w:val="center"/>
          </w:tcPr>
          <w:p w14:paraId="0EA05AB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资金使用合规性</w:t>
            </w:r>
          </w:p>
        </w:tc>
        <w:tc>
          <w:tcPr>
            <w:tcW w:w="923" w:type="pct"/>
            <w:tcBorders>
              <w:tl2br w:val="nil"/>
              <w:tr2bl w:val="nil"/>
            </w:tcBorders>
            <w:tcMar>
              <w:top w:w="15" w:type="dxa"/>
              <w:left w:w="15" w:type="dxa"/>
              <w:right w:w="15" w:type="dxa"/>
            </w:tcMar>
            <w:vAlign w:val="center"/>
          </w:tcPr>
          <w:p w14:paraId="3046CFF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4</w:t>
            </w:r>
          </w:p>
        </w:tc>
        <w:tc>
          <w:tcPr>
            <w:tcW w:w="1108" w:type="pct"/>
            <w:tcBorders>
              <w:tl2br w:val="nil"/>
              <w:tr2bl w:val="nil"/>
            </w:tcBorders>
            <w:tcMar>
              <w:top w:w="15" w:type="dxa"/>
              <w:left w:w="15" w:type="dxa"/>
              <w:right w:w="15" w:type="dxa"/>
            </w:tcMar>
            <w:vAlign w:val="center"/>
          </w:tcPr>
          <w:p w14:paraId="28F158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val="en-US" w:eastAsia="zh-CN" w:bidi="ar"/>
              </w:rPr>
              <w:t>4</w:t>
            </w:r>
          </w:p>
        </w:tc>
      </w:tr>
      <w:tr w14:paraId="3444C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0" w:hRule="atLeast"/>
          <w:jc w:val="center"/>
        </w:trPr>
        <w:tc>
          <w:tcPr>
            <w:tcW w:w="1107" w:type="pct"/>
            <w:vMerge w:val="restart"/>
            <w:tcBorders>
              <w:tl2br w:val="nil"/>
              <w:tr2bl w:val="nil"/>
            </w:tcBorders>
            <w:tcMar>
              <w:top w:w="15" w:type="dxa"/>
              <w:left w:w="15" w:type="dxa"/>
              <w:right w:w="15" w:type="dxa"/>
            </w:tcMar>
            <w:vAlign w:val="center"/>
          </w:tcPr>
          <w:p w14:paraId="113A7E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rPr>
              <w:t>组织实施</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6分</w:t>
            </w:r>
            <w:r>
              <w:rPr>
                <w:rFonts w:hint="eastAsia" w:ascii="仿宋" w:hAnsi="仿宋" w:eastAsia="仿宋" w:cs="仿宋"/>
                <w:color w:val="auto"/>
                <w:kern w:val="0"/>
                <w:sz w:val="28"/>
                <w:szCs w:val="28"/>
                <w:lang w:eastAsia="zh-CN"/>
              </w:rPr>
              <w:t>）</w:t>
            </w:r>
          </w:p>
        </w:tc>
        <w:tc>
          <w:tcPr>
            <w:tcW w:w="1860" w:type="pct"/>
            <w:tcBorders>
              <w:tl2br w:val="nil"/>
              <w:tr2bl w:val="nil"/>
            </w:tcBorders>
            <w:tcMar>
              <w:top w:w="15" w:type="dxa"/>
              <w:left w:w="15" w:type="dxa"/>
              <w:right w:w="15" w:type="dxa"/>
            </w:tcMar>
            <w:vAlign w:val="center"/>
          </w:tcPr>
          <w:p w14:paraId="658CE5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ascii="仿宋" w:hAnsi="仿宋" w:eastAsia="仿宋" w:cs="仿宋"/>
                <w:color w:val="auto"/>
                <w:sz w:val="28"/>
                <w:szCs w:val="28"/>
              </w:rPr>
            </w:pPr>
            <w:r>
              <w:rPr>
                <w:rFonts w:hint="default" w:ascii="Times New Roman" w:hAnsi="Times New Roman" w:eastAsia="仿宋" w:cs="Times New Roman"/>
                <w:color w:val="auto"/>
                <w:sz w:val="28"/>
                <w:szCs w:val="28"/>
                <w:highlight w:val="none"/>
                <w:lang w:val="en-US" w:eastAsia="zh-CN"/>
              </w:rPr>
              <w:t>管理制度健全性</w:t>
            </w:r>
          </w:p>
        </w:tc>
        <w:tc>
          <w:tcPr>
            <w:tcW w:w="923" w:type="pct"/>
            <w:tcBorders>
              <w:tl2br w:val="nil"/>
              <w:tr2bl w:val="nil"/>
            </w:tcBorders>
            <w:tcMar>
              <w:top w:w="15" w:type="dxa"/>
              <w:left w:w="15" w:type="dxa"/>
              <w:right w:w="15" w:type="dxa"/>
            </w:tcMar>
            <w:vAlign w:val="center"/>
          </w:tcPr>
          <w:p w14:paraId="4AE1E1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p>
        </w:tc>
        <w:tc>
          <w:tcPr>
            <w:tcW w:w="1108" w:type="pct"/>
            <w:tcBorders>
              <w:tl2br w:val="nil"/>
              <w:tr2bl w:val="nil"/>
            </w:tcBorders>
            <w:tcMar>
              <w:top w:w="15" w:type="dxa"/>
              <w:left w:w="15" w:type="dxa"/>
              <w:right w:w="15" w:type="dxa"/>
            </w:tcMar>
            <w:vAlign w:val="center"/>
          </w:tcPr>
          <w:p w14:paraId="1D2AB8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lang w:val="en-US" w:eastAsia="zh-CN" w:bidi="ar"/>
              </w:rPr>
              <w:t>3</w:t>
            </w:r>
          </w:p>
        </w:tc>
      </w:tr>
      <w:tr w14:paraId="7B04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8" w:hRule="atLeast"/>
          <w:jc w:val="center"/>
        </w:trPr>
        <w:tc>
          <w:tcPr>
            <w:tcW w:w="1107" w:type="pct"/>
            <w:vMerge w:val="continue"/>
            <w:tcBorders>
              <w:tl2br w:val="nil"/>
              <w:tr2bl w:val="nil"/>
            </w:tcBorders>
            <w:tcMar>
              <w:top w:w="15" w:type="dxa"/>
              <w:left w:w="15" w:type="dxa"/>
              <w:right w:w="15" w:type="dxa"/>
            </w:tcMar>
            <w:vAlign w:val="center"/>
          </w:tcPr>
          <w:p w14:paraId="518FFFB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ascii="仿宋" w:hAnsi="仿宋" w:eastAsia="仿宋" w:cs="仿宋"/>
                <w:color w:val="auto"/>
                <w:sz w:val="28"/>
                <w:szCs w:val="28"/>
              </w:rPr>
            </w:pPr>
          </w:p>
        </w:tc>
        <w:tc>
          <w:tcPr>
            <w:tcW w:w="1860" w:type="pct"/>
            <w:tcBorders>
              <w:tl2br w:val="nil"/>
              <w:tr2bl w:val="nil"/>
            </w:tcBorders>
            <w:tcMar>
              <w:top w:w="15" w:type="dxa"/>
              <w:left w:w="15" w:type="dxa"/>
              <w:right w:w="15" w:type="dxa"/>
            </w:tcMar>
            <w:vAlign w:val="center"/>
          </w:tcPr>
          <w:p w14:paraId="1B0FE8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ascii="仿宋" w:hAnsi="仿宋" w:eastAsia="仿宋" w:cs="仿宋"/>
                <w:color w:val="auto"/>
                <w:sz w:val="28"/>
                <w:szCs w:val="28"/>
              </w:rPr>
            </w:pPr>
            <w:r>
              <w:rPr>
                <w:rFonts w:hint="default" w:ascii="Times New Roman" w:hAnsi="Times New Roman" w:eastAsia="仿宋" w:cs="Times New Roman"/>
                <w:color w:val="auto"/>
                <w:sz w:val="28"/>
                <w:szCs w:val="28"/>
                <w:highlight w:val="none"/>
                <w:lang w:val="en-US" w:eastAsia="zh-CN"/>
              </w:rPr>
              <w:t>制度执行有效性</w:t>
            </w:r>
          </w:p>
        </w:tc>
        <w:tc>
          <w:tcPr>
            <w:tcW w:w="923" w:type="pct"/>
            <w:tcBorders>
              <w:tl2br w:val="nil"/>
              <w:tr2bl w:val="nil"/>
            </w:tcBorders>
            <w:tcMar>
              <w:top w:w="15" w:type="dxa"/>
              <w:left w:w="15" w:type="dxa"/>
              <w:right w:w="15" w:type="dxa"/>
            </w:tcMar>
            <w:vAlign w:val="center"/>
          </w:tcPr>
          <w:p w14:paraId="6C65A4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p>
        </w:tc>
        <w:tc>
          <w:tcPr>
            <w:tcW w:w="1108" w:type="pct"/>
            <w:tcBorders>
              <w:tl2br w:val="nil"/>
              <w:tr2bl w:val="nil"/>
            </w:tcBorders>
            <w:tcMar>
              <w:top w:w="15" w:type="dxa"/>
              <w:left w:w="15" w:type="dxa"/>
              <w:right w:w="15" w:type="dxa"/>
            </w:tcMar>
            <w:vAlign w:val="center"/>
          </w:tcPr>
          <w:p w14:paraId="3C0EEF2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p>
        </w:tc>
      </w:tr>
      <w:tr w14:paraId="34FAE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2967" w:type="pct"/>
            <w:gridSpan w:val="2"/>
            <w:tcBorders>
              <w:tl2br w:val="nil"/>
              <w:tr2bl w:val="nil"/>
            </w:tcBorders>
            <w:tcMar>
              <w:top w:w="15" w:type="dxa"/>
              <w:left w:w="15" w:type="dxa"/>
              <w:right w:w="15" w:type="dxa"/>
            </w:tcMar>
            <w:vAlign w:val="center"/>
          </w:tcPr>
          <w:p w14:paraId="1B873E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rPr>
              <w:t>合计</w:t>
            </w:r>
          </w:p>
        </w:tc>
        <w:tc>
          <w:tcPr>
            <w:tcW w:w="923" w:type="pct"/>
            <w:tcBorders>
              <w:tl2br w:val="nil"/>
              <w:tr2bl w:val="nil"/>
            </w:tcBorders>
            <w:tcMar>
              <w:top w:w="15" w:type="dxa"/>
              <w:left w:w="15" w:type="dxa"/>
              <w:right w:w="15" w:type="dxa"/>
            </w:tcMar>
            <w:vAlign w:val="center"/>
          </w:tcPr>
          <w:p w14:paraId="0FD8C3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kern w:val="0"/>
                <w:sz w:val="28"/>
                <w:szCs w:val="28"/>
                <w:lang w:val="en-US" w:eastAsia="zh-CN"/>
              </w:rPr>
              <w:t>19</w:t>
            </w:r>
          </w:p>
        </w:tc>
        <w:tc>
          <w:tcPr>
            <w:tcW w:w="1108" w:type="pct"/>
            <w:tcBorders>
              <w:tl2br w:val="nil"/>
              <w:tr2bl w:val="nil"/>
            </w:tcBorders>
            <w:tcMar>
              <w:top w:w="15" w:type="dxa"/>
              <w:left w:w="15" w:type="dxa"/>
              <w:right w:w="15" w:type="dxa"/>
            </w:tcMar>
            <w:vAlign w:val="center"/>
          </w:tcPr>
          <w:p w14:paraId="5EDB16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cs="仿宋"/>
                <w:color w:val="auto"/>
                <w:sz w:val="28"/>
                <w:szCs w:val="28"/>
                <w:lang w:val="en-US" w:eastAsia="zh-CN"/>
              </w:rPr>
              <w:t>18.98</w:t>
            </w:r>
          </w:p>
        </w:tc>
      </w:tr>
    </w:tbl>
    <w:p w14:paraId="2C1DAEBA">
      <w:pPr>
        <w:pStyle w:val="3"/>
        <w:numPr>
          <w:ilvl w:val="0"/>
          <w:numId w:val="1"/>
        </w:numPr>
        <w:spacing w:before="156" w:beforeLines="50"/>
        <w:ind w:firstLine="643"/>
        <w:rPr>
          <w:color w:val="auto"/>
          <w:sz w:val="32"/>
        </w:rPr>
      </w:pPr>
      <w:bookmarkStart w:id="71" w:name="_Toc4433"/>
      <w:bookmarkStart w:id="72" w:name="_Toc26806"/>
      <w:r>
        <w:rPr>
          <w:color w:val="auto"/>
          <w:sz w:val="32"/>
        </w:rPr>
        <w:t>项目产出情况</w:t>
      </w:r>
      <w:bookmarkEnd w:id="71"/>
      <w:bookmarkEnd w:id="72"/>
    </w:p>
    <w:p w14:paraId="0CC919A5">
      <w:pPr>
        <w:bidi w:val="0"/>
        <w:rPr>
          <w:rFonts w:hint="eastAsia"/>
          <w:lang w:val="en-US" w:eastAsia="zh-CN"/>
        </w:rPr>
      </w:pPr>
      <w:r>
        <w:rPr>
          <w:rFonts w:hint="eastAsia"/>
          <w:lang w:val="en-US" w:eastAsia="zh-CN"/>
        </w:rPr>
        <w:t>通过项目实施，保障了呼和浩特市赛罕区人民检察院正常运转，根据年度工作要求，本年案件受理数1200件，公开听证次数95次，出差人次110人次，物业保障面积1.2万平方米，办公楼维修次数5次，印刷材料批次6次，缴纳电话费次数12次，购置设备3次，提高了办案人员的业务能力，保障了司法办案的顺利开展。</w:t>
      </w:r>
    </w:p>
    <w:tbl>
      <w:tblPr>
        <w:tblStyle w:val="2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292"/>
        <w:gridCol w:w="4273"/>
        <w:gridCol w:w="1376"/>
        <w:gridCol w:w="2156"/>
      </w:tblGrid>
      <w:tr w14:paraId="4C918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0" w:hRule="atLeast"/>
          <w:tblHeader/>
          <w:jc w:val="center"/>
        </w:trPr>
        <w:tc>
          <w:tcPr>
            <w:tcW w:w="710" w:type="pct"/>
            <w:tcBorders>
              <w:tl2br w:val="nil"/>
              <w:tr2bl w:val="nil"/>
            </w:tcBorders>
            <w:shd w:val="clear" w:color="auto" w:fill="auto"/>
            <w:vAlign w:val="center"/>
          </w:tcPr>
          <w:p w14:paraId="623C3AA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b/>
                <w:color w:val="000000" w:themeColor="text1"/>
                <w:sz w:val="28"/>
                <w:szCs w:val="28"/>
                <w14:textFill>
                  <w14:solidFill>
                    <w14:schemeClr w14:val="tx1"/>
                  </w14:solidFill>
                </w14:textFill>
              </w:rPr>
            </w:pPr>
            <w:r>
              <w:rPr>
                <w:rFonts w:ascii="仿宋" w:hAnsi="仿宋" w:eastAsia="仿宋" w:cs="仿宋"/>
                <w:b/>
                <w:color w:val="000000" w:themeColor="text1"/>
                <w:kern w:val="0"/>
                <w:sz w:val="28"/>
                <w:szCs w:val="28"/>
                <w:lang w:bidi="ar"/>
                <w14:textFill>
                  <w14:solidFill>
                    <w14:schemeClr w14:val="tx1"/>
                  </w14:solidFill>
                </w14:textFill>
              </w:rPr>
              <w:t>指标</w:t>
            </w:r>
          </w:p>
        </w:tc>
        <w:tc>
          <w:tcPr>
            <w:tcW w:w="2348" w:type="pct"/>
            <w:tcBorders>
              <w:tl2br w:val="nil"/>
              <w:tr2bl w:val="nil"/>
            </w:tcBorders>
            <w:shd w:val="clear" w:color="auto" w:fill="auto"/>
            <w:vAlign w:val="center"/>
          </w:tcPr>
          <w:p w14:paraId="0B3BA5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b/>
                <w:color w:val="000000" w:themeColor="text1"/>
                <w:sz w:val="28"/>
                <w:szCs w:val="28"/>
                <w14:textFill>
                  <w14:solidFill>
                    <w14:schemeClr w14:val="tx1"/>
                  </w14:solidFill>
                </w14:textFill>
              </w:rPr>
            </w:pPr>
            <w:r>
              <w:rPr>
                <w:rFonts w:ascii="仿宋" w:hAnsi="仿宋" w:eastAsia="仿宋" w:cs="仿宋"/>
                <w:b/>
                <w:color w:val="000000" w:themeColor="text1"/>
                <w:kern w:val="0"/>
                <w:sz w:val="28"/>
                <w:szCs w:val="28"/>
                <w:lang w:bidi="ar"/>
                <w14:textFill>
                  <w14:solidFill>
                    <w14:schemeClr w14:val="tx1"/>
                  </w14:solidFill>
                </w14:textFill>
              </w:rPr>
              <w:t>指标内容</w:t>
            </w:r>
          </w:p>
        </w:tc>
        <w:tc>
          <w:tcPr>
            <w:tcW w:w="756" w:type="pct"/>
            <w:tcBorders>
              <w:tl2br w:val="nil"/>
              <w:tr2bl w:val="nil"/>
            </w:tcBorders>
            <w:shd w:val="clear" w:color="auto" w:fill="auto"/>
            <w:vAlign w:val="center"/>
          </w:tcPr>
          <w:p w14:paraId="6AF6A34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b/>
                <w:color w:val="000000" w:themeColor="text1"/>
                <w:sz w:val="28"/>
                <w:szCs w:val="28"/>
                <w14:textFill>
                  <w14:solidFill>
                    <w14:schemeClr w14:val="tx1"/>
                  </w14:solidFill>
                </w14:textFill>
              </w:rPr>
            </w:pPr>
            <w:r>
              <w:rPr>
                <w:rFonts w:ascii="仿宋" w:hAnsi="仿宋" w:eastAsia="仿宋" w:cs="仿宋"/>
                <w:b/>
                <w:color w:val="000000" w:themeColor="text1"/>
                <w:kern w:val="0"/>
                <w:sz w:val="28"/>
                <w:szCs w:val="28"/>
                <w:lang w:bidi="ar"/>
                <w14:textFill>
                  <w14:solidFill>
                    <w14:schemeClr w14:val="tx1"/>
                  </w14:solidFill>
                </w14:textFill>
              </w:rPr>
              <w:t>分值</w:t>
            </w:r>
          </w:p>
        </w:tc>
        <w:tc>
          <w:tcPr>
            <w:tcW w:w="1185" w:type="pct"/>
            <w:tcBorders>
              <w:tl2br w:val="nil"/>
              <w:tr2bl w:val="nil"/>
            </w:tcBorders>
            <w:shd w:val="clear" w:color="auto" w:fill="auto"/>
            <w:vAlign w:val="center"/>
          </w:tcPr>
          <w:p w14:paraId="398FB69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b/>
                <w:color w:val="000000" w:themeColor="text1"/>
                <w:sz w:val="28"/>
                <w:szCs w:val="28"/>
                <w14:textFill>
                  <w14:solidFill>
                    <w14:schemeClr w14:val="tx1"/>
                  </w14:solidFill>
                </w14:textFill>
              </w:rPr>
            </w:pPr>
            <w:r>
              <w:rPr>
                <w:rFonts w:ascii="仿宋" w:hAnsi="仿宋" w:eastAsia="仿宋" w:cs="仿宋"/>
                <w:b/>
                <w:color w:val="000000" w:themeColor="text1"/>
                <w:kern w:val="0"/>
                <w:sz w:val="28"/>
                <w:szCs w:val="28"/>
                <w:lang w:bidi="ar"/>
                <w14:textFill>
                  <w14:solidFill>
                    <w14:schemeClr w14:val="tx1"/>
                  </w14:solidFill>
                </w14:textFill>
              </w:rPr>
              <w:t>得分情况</w:t>
            </w:r>
          </w:p>
        </w:tc>
      </w:tr>
      <w:tr w14:paraId="3B515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710" w:type="pct"/>
            <w:vMerge w:val="restart"/>
            <w:tcBorders>
              <w:tl2br w:val="nil"/>
              <w:tr2bl w:val="nil"/>
            </w:tcBorders>
            <w:shd w:val="clear" w:color="auto" w:fill="auto"/>
            <w:vAlign w:val="center"/>
          </w:tcPr>
          <w:p w14:paraId="50CB16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kern w:val="0"/>
                <w:sz w:val="28"/>
                <w:szCs w:val="28"/>
                <w:lang w:val="en-US" w:eastAsia="zh-CN" w:bidi="ar"/>
                <w14:textFill>
                  <w14:solidFill>
                    <w14:schemeClr w14:val="tx1"/>
                  </w14:solidFill>
                </w14:textFill>
              </w:rPr>
            </w:pPr>
            <w:r>
              <w:rPr>
                <w:rFonts w:ascii="仿宋" w:hAnsi="仿宋" w:eastAsia="仿宋" w:cs="仿宋"/>
                <w:color w:val="000000" w:themeColor="text1"/>
                <w:kern w:val="0"/>
                <w:sz w:val="28"/>
                <w:szCs w:val="28"/>
                <w:lang w:bidi="ar"/>
                <w14:textFill>
                  <w14:solidFill>
                    <w14:schemeClr w14:val="tx1"/>
                  </w14:solidFill>
                </w14:textFill>
              </w:rPr>
              <w:t>产出数</w:t>
            </w:r>
            <w:r>
              <w:rPr>
                <w:rFonts w:hint="eastAsia" w:ascii="仿宋" w:hAnsi="仿宋" w:eastAsia="仿宋" w:cs="仿宋"/>
                <w:color w:val="000000" w:themeColor="text1"/>
                <w:kern w:val="0"/>
                <w:sz w:val="28"/>
                <w:szCs w:val="28"/>
                <w:lang w:val="en-US" w:eastAsia="zh-CN" w:bidi="ar"/>
                <w14:textFill>
                  <w14:solidFill>
                    <w14:schemeClr w14:val="tx1"/>
                  </w14:solidFill>
                </w14:textFill>
              </w:rPr>
              <w:t>量</w:t>
            </w:r>
          </w:p>
        </w:tc>
        <w:tc>
          <w:tcPr>
            <w:tcW w:w="2348" w:type="pct"/>
            <w:tcBorders>
              <w:tl2br w:val="nil"/>
              <w:tr2bl w:val="nil"/>
            </w:tcBorders>
            <w:shd w:val="clear" w:color="auto" w:fill="auto"/>
            <w:vAlign w:val="center"/>
          </w:tcPr>
          <w:p w14:paraId="2E9F38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案件受理数</w:t>
            </w:r>
          </w:p>
        </w:tc>
        <w:tc>
          <w:tcPr>
            <w:tcW w:w="756" w:type="pct"/>
            <w:tcBorders>
              <w:tl2br w:val="nil"/>
              <w:tr2bl w:val="nil"/>
            </w:tcBorders>
            <w:shd w:val="clear" w:color="auto" w:fill="auto"/>
            <w:vAlign w:val="center"/>
          </w:tcPr>
          <w:p w14:paraId="22F0CD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c>
          <w:tcPr>
            <w:tcW w:w="1185" w:type="pct"/>
            <w:tcBorders>
              <w:tl2br w:val="nil"/>
              <w:tr2bl w:val="nil"/>
            </w:tcBorders>
            <w:shd w:val="clear" w:color="auto" w:fill="auto"/>
            <w:vAlign w:val="center"/>
          </w:tcPr>
          <w:p w14:paraId="622AC1D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r>
      <w:tr w14:paraId="79A19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710" w:type="pct"/>
            <w:vMerge w:val="continue"/>
            <w:tcBorders>
              <w:tl2br w:val="nil"/>
              <w:tr2bl w:val="nil"/>
            </w:tcBorders>
            <w:shd w:val="clear" w:color="auto" w:fill="auto"/>
            <w:vAlign w:val="center"/>
          </w:tcPr>
          <w:p w14:paraId="457CF5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kern w:val="0"/>
                <w:sz w:val="28"/>
                <w:szCs w:val="28"/>
                <w:lang w:bidi="ar"/>
                <w14:textFill>
                  <w14:solidFill>
                    <w14:schemeClr w14:val="tx1"/>
                  </w14:solidFill>
                </w14:textFill>
              </w:rPr>
            </w:pPr>
          </w:p>
        </w:tc>
        <w:tc>
          <w:tcPr>
            <w:tcW w:w="2348" w:type="pct"/>
            <w:tcBorders>
              <w:tl2br w:val="nil"/>
              <w:tr2bl w:val="nil"/>
            </w:tcBorders>
            <w:shd w:val="clear" w:color="auto" w:fill="auto"/>
            <w:vAlign w:val="center"/>
          </w:tcPr>
          <w:p w14:paraId="0CD36DC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公开听证次数</w:t>
            </w:r>
          </w:p>
        </w:tc>
        <w:tc>
          <w:tcPr>
            <w:tcW w:w="756" w:type="pct"/>
            <w:tcBorders>
              <w:tl2br w:val="nil"/>
              <w:tr2bl w:val="nil"/>
            </w:tcBorders>
            <w:shd w:val="clear" w:color="auto" w:fill="auto"/>
            <w:vAlign w:val="center"/>
          </w:tcPr>
          <w:p w14:paraId="251A25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555FE9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473E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710" w:type="pct"/>
            <w:vMerge w:val="continue"/>
            <w:tcBorders>
              <w:tl2br w:val="nil"/>
              <w:tr2bl w:val="nil"/>
            </w:tcBorders>
            <w:shd w:val="clear" w:color="auto" w:fill="auto"/>
            <w:vAlign w:val="center"/>
          </w:tcPr>
          <w:p w14:paraId="1B86D7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kern w:val="0"/>
                <w:sz w:val="28"/>
                <w:szCs w:val="28"/>
                <w:lang w:bidi="ar"/>
                <w14:textFill>
                  <w14:solidFill>
                    <w14:schemeClr w14:val="tx1"/>
                  </w14:solidFill>
                </w14:textFill>
              </w:rPr>
            </w:pPr>
          </w:p>
        </w:tc>
        <w:tc>
          <w:tcPr>
            <w:tcW w:w="2348" w:type="pct"/>
            <w:tcBorders>
              <w:tl2br w:val="nil"/>
              <w:tr2bl w:val="nil"/>
            </w:tcBorders>
            <w:shd w:val="clear" w:color="auto" w:fill="auto"/>
            <w:vAlign w:val="center"/>
          </w:tcPr>
          <w:p w14:paraId="25B3803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出差人次</w:t>
            </w:r>
          </w:p>
        </w:tc>
        <w:tc>
          <w:tcPr>
            <w:tcW w:w="756" w:type="pct"/>
            <w:tcBorders>
              <w:tl2br w:val="nil"/>
              <w:tr2bl w:val="nil"/>
            </w:tcBorders>
            <w:shd w:val="clear" w:color="auto" w:fill="auto"/>
            <w:vAlign w:val="center"/>
          </w:tcPr>
          <w:p w14:paraId="160F26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6A8E40F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15565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7" w:hRule="atLeast"/>
          <w:jc w:val="center"/>
        </w:trPr>
        <w:tc>
          <w:tcPr>
            <w:tcW w:w="710" w:type="pct"/>
            <w:vMerge w:val="continue"/>
            <w:tcBorders>
              <w:tl2br w:val="nil"/>
              <w:tr2bl w:val="nil"/>
            </w:tcBorders>
            <w:shd w:val="clear" w:color="auto" w:fill="auto"/>
            <w:vAlign w:val="center"/>
          </w:tcPr>
          <w:p w14:paraId="1DD7DC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kern w:val="0"/>
                <w:sz w:val="28"/>
                <w:szCs w:val="28"/>
                <w:lang w:bidi="ar"/>
                <w14:textFill>
                  <w14:solidFill>
                    <w14:schemeClr w14:val="tx1"/>
                  </w14:solidFill>
                </w14:textFill>
              </w:rPr>
            </w:pPr>
          </w:p>
        </w:tc>
        <w:tc>
          <w:tcPr>
            <w:tcW w:w="2348" w:type="pct"/>
            <w:tcBorders>
              <w:tl2br w:val="nil"/>
              <w:tr2bl w:val="nil"/>
            </w:tcBorders>
            <w:shd w:val="clear" w:color="auto" w:fill="auto"/>
            <w:vAlign w:val="center"/>
          </w:tcPr>
          <w:p w14:paraId="23ABF3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物业保障面积</w:t>
            </w:r>
          </w:p>
        </w:tc>
        <w:tc>
          <w:tcPr>
            <w:tcW w:w="756" w:type="pct"/>
            <w:tcBorders>
              <w:tl2br w:val="nil"/>
              <w:tr2bl w:val="nil"/>
            </w:tcBorders>
            <w:shd w:val="clear" w:color="auto" w:fill="auto"/>
            <w:vAlign w:val="center"/>
          </w:tcPr>
          <w:p w14:paraId="5BA27EE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283276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7655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710" w:type="pct"/>
            <w:vMerge w:val="continue"/>
            <w:tcBorders>
              <w:tl2br w:val="nil"/>
              <w:tr2bl w:val="nil"/>
            </w:tcBorders>
            <w:shd w:val="clear" w:color="auto" w:fill="auto"/>
            <w:vAlign w:val="center"/>
          </w:tcPr>
          <w:p w14:paraId="52ED63B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kern w:val="0"/>
                <w:sz w:val="28"/>
                <w:szCs w:val="28"/>
                <w:lang w:bidi="ar"/>
                <w14:textFill>
                  <w14:solidFill>
                    <w14:schemeClr w14:val="tx1"/>
                  </w14:solidFill>
                </w14:textFill>
              </w:rPr>
            </w:pPr>
          </w:p>
        </w:tc>
        <w:tc>
          <w:tcPr>
            <w:tcW w:w="2348" w:type="pct"/>
            <w:tcBorders>
              <w:tl2br w:val="nil"/>
              <w:tr2bl w:val="nil"/>
            </w:tcBorders>
            <w:shd w:val="clear" w:color="auto" w:fill="auto"/>
            <w:vAlign w:val="center"/>
          </w:tcPr>
          <w:p w14:paraId="36C94B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办公楼维修次数</w:t>
            </w:r>
          </w:p>
        </w:tc>
        <w:tc>
          <w:tcPr>
            <w:tcW w:w="756" w:type="pct"/>
            <w:tcBorders>
              <w:tl2br w:val="nil"/>
              <w:tr2bl w:val="nil"/>
            </w:tcBorders>
            <w:shd w:val="clear" w:color="auto" w:fill="auto"/>
            <w:vAlign w:val="center"/>
          </w:tcPr>
          <w:p w14:paraId="6E3C27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566E40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3A48C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710" w:type="pct"/>
            <w:vMerge w:val="continue"/>
            <w:tcBorders>
              <w:tl2br w:val="nil"/>
              <w:tr2bl w:val="nil"/>
            </w:tcBorders>
            <w:shd w:val="clear" w:color="auto" w:fill="auto"/>
            <w:vAlign w:val="center"/>
          </w:tcPr>
          <w:p w14:paraId="520DC4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kern w:val="0"/>
                <w:sz w:val="28"/>
                <w:szCs w:val="28"/>
                <w:lang w:bidi="ar"/>
                <w14:textFill>
                  <w14:solidFill>
                    <w14:schemeClr w14:val="tx1"/>
                  </w14:solidFill>
                </w14:textFill>
              </w:rPr>
            </w:pPr>
          </w:p>
        </w:tc>
        <w:tc>
          <w:tcPr>
            <w:tcW w:w="2348" w:type="pct"/>
            <w:tcBorders>
              <w:tl2br w:val="nil"/>
              <w:tr2bl w:val="nil"/>
            </w:tcBorders>
            <w:shd w:val="clear" w:color="auto" w:fill="auto"/>
            <w:vAlign w:val="center"/>
          </w:tcPr>
          <w:p w14:paraId="1115F43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印刷材料批次</w:t>
            </w:r>
          </w:p>
        </w:tc>
        <w:tc>
          <w:tcPr>
            <w:tcW w:w="756" w:type="pct"/>
            <w:tcBorders>
              <w:tl2br w:val="nil"/>
              <w:tr2bl w:val="nil"/>
            </w:tcBorders>
            <w:shd w:val="clear" w:color="auto" w:fill="auto"/>
            <w:vAlign w:val="center"/>
          </w:tcPr>
          <w:p w14:paraId="16C6E8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619BF68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1C6D2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710" w:type="pct"/>
            <w:vMerge w:val="continue"/>
            <w:tcBorders>
              <w:tl2br w:val="nil"/>
              <w:tr2bl w:val="nil"/>
            </w:tcBorders>
            <w:shd w:val="clear" w:color="auto" w:fill="auto"/>
            <w:vAlign w:val="center"/>
          </w:tcPr>
          <w:p w14:paraId="3AD717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kern w:val="0"/>
                <w:sz w:val="28"/>
                <w:szCs w:val="28"/>
                <w:lang w:bidi="ar"/>
                <w14:textFill>
                  <w14:solidFill>
                    <w14:schemeClr w14:val="tx1"/>
                  </w14:solidFill>
                </w14:textFill>
              </w:rPr>
            </w:pPr>
          </w:p>
        </w:tc>
        <w:tc>
          <w:tcPr>
            <w:tcW w:w="2348" w:type="pct"/>
            <w:tcBorders>
              <w:tl2br w:val="nil"/>
              <w:tr2bl w:val="nil"/>
            </w:tcBorders>
            <w:shd w:val="clear" w:color="auto" w:fill="auto"/>
            <w:vAlign w:val="center"/>
          </w:tcPr>
          <w:p w14:paraId="4DEBE0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缴纳电话费次数</w:t>
            </w:r>
          </w:p>
        </w:tc>
        <w:tc>
          <w:tcPr>
            <w:tcW w:w="756" w:type="pct"/>
            <w:tcBorders>
              <w:tl2br w:val="nil"/>
              <w:tr2bl w:val="nil"/>
            </w:tcBorders>
            <w:shd w:val="clear" w:color="auto" w:fill="auto"/>
            <w:vAlign w:val="center"/>
          </w:tcPr>
          <w:p w14:paraId="487F35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35C297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4220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710" w:type="pct"/>
            <w:vMerge w:val="continue"/>
            <w:tcBorders>
              <w:tl2br w:val="nil"/>
              <w:tr2bl w:val="nil"/>
            </w:tcBorders>
            <w:shd w:val="clear" w:color="auto" w:fill="auto"/>
            <w:vAlign w:val="center"/>
          </w:tcPr>
          <w:p w14:paraId="63CD08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kern w:val="0"/>
                <w:sz w:val="28"/>
                <w:szCs w:val="28"/>
                <w:lang w:val="en-US" w:eastAsia="zh-CN" w:bidi="ar"/>
                <w14:textFill>
                  <w14:solidFill>
                    <w14:schemeClr w14:val="tx1"/>
                  </w14:solidFill>
                </w14:textFill>
              </w:rPr>
            </w:pPr>
          </w:p>
        </w:tc>
        <w:tc>
          <w:tcPr>
            <w:tcW w:w="2348" w:type="pct"/>
            <w:tcBorders>
              <w:tl2br w:val="nil"/>
              <w:tr2bl w:val="nil"/>
            </w:tcBorders>
            <w:shd w:val="clear" w:color="auto" w:fill="auto"/>
            <w:vAlign w:val="center"/>
          </w:tcPr>
          <w:p w14:paraId="322EA3D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购置设备批次</w:t>
            </w:r>
          </w:p>
        </w:tc>
        <w:tc>
          <w:tcPr>
            <w:tcW w:w="756" w:type="pct"/>
            <w:tcBorders>
              <w:tl2br w:val="nil"/>
              <w:tr2bl w:val="nil"/>
            </w:tcBorders>
            <w:shd w:val="clear" w:color="auto" w:fill="auto"/>
            <w:vAlign w:val="center"/>
          </w:tcPr>
          <w:p w14:paraId="214403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275B23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2EC2C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710" w:type="pct"/>
            <w:vMerge w:val="restart"/>
            <w:tcBorders>
              <w:tl2br w:val="nil"/>
              <w:tr2bl w:val="nil"/>
            </w:tcBorders>
            <w:shd w:val="clear" w:color="auto" w:fill="auto"/>
            <w:vAlign w:val="center"/>
          </w:tcPr>
          <w:p w14:paraId="22C0A0E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kern w:val="0"/>
                <w:sz w:val="28"/>
                <w:szCs w:val="28"/>
                <w:lang w:bidi="ar"/>
                <w14:textFill>
                  <w14:solidFill>
                    <w14:schemeClr w14:val="tx1"/>
                  </w14:solidFill>
                </w14:textFill>
              </w:rPr>
              <w:t>产出</w:t>
            </w:r>
            <w:r>
              <w:rPr>
                <w:rFonts w:hint="eastAsia" w:ascii="仿宋" w:hAnsi="仿宋" w:eastAsia="仿宋" w:cs="仿宋"/>
                <w:color w:val="000000" w:themeColor="text1"/>
                <w:kern w:val="0"/>
                <w:sz w:val="28"/>
                <w:szCs w:val="28"/>
                <w:lang w:eastAsia="zh-CN" w:bidi="ar"/>
                <w14:textFill>
                  <w14:solidFill>
                    <w14:schemeClr w14:val="tx1"/>
                  </w14:solidFill>
                </w14:textFill>
              </w:rPr>
              <w:t>质</w:t>
            </w:r>
            <w:r>
              <w:rPr>
                <w:rFonts w:hint="eastAsia" w:ascii="仿宋" w:hAnsi="仿宋" w:eastAsia="仿宋" w:cs="仿宋"/>
                <w:color w:val="000000" w:themeColor="text1"/>
                <w:kern w:val="0"/>
                <w:sz w:val="28"/>
                <w:szCs w:val="28"/>
                <w:lang w:val="en-US" w:eastAsia="zh-CN" w:bidi="ar"/>
                <w14:textFill>
                  <w14:solidFill>
                    <w14:schemeClr w14:val="tx1"/>
                  </w14:solidFill>
                </w14:textFill>
              </w:rPr>
              <w:t>量</w:t>
            </w:r>
          </w:p>
        </w:tc>
        <w:tc>
          <w:tcPr>
            <w:tcW w:w="2348" w:type="pct"/>
            <w:tcBorders>
              <w:tl2br w:val="nil"/>
              <w:tr2bl w:val="nil"/>
            </w:tcBorders>
            <w:shd w:val="clear" w:color="auto" w:fill="auto"/>
            <w:vAlign w:val="center"/>
          </w:tcPr>
          <w:p w14:paraId="04A1A8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审判监督案件完成率</w:t>
            </w:r>
          </w:p>
        </w:tc>
        <w:tc>
          <w:tcPr>
            <w:tcW w:w="756" w:type="pct"/>
            <w:tcBorders>
              <w:tl2br w:val="nil"/>
              <w:tr2bl w:val="nil"/>
            </w:tcBorders>
            <w:shd w:val="clear" w:color="auto" w:fill="auto"/>
            <w:vAlign w:val="center"/>
          </w:tcPr>
          <w:p w14:paraId="6C77BB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w:t>
            </w:r>
          </w:p>
        </w:tc>
        <w:tc>
          <w:tcPr>
            <w:tcW w:w="1185" w:type="pct"/>
            <w:tcBorders>
              <w:tl2br w:val="nil"/>
              <w:tr2bl w:val="nil"/>
            </w:tcBorders>
            <w:shd w:val="clear" w:color="auto" w:fill="auto"/>
            <w:vAlign w:val="center"/>
          </w:tcPr>
          <w:p w14:paraId="311CE49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w:t>
            </w:r>
          </w:p>
        </w:tc>
      </w:tr>
      <w:tr w14:paraId="593EF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88" w:hRule="atLeast"/>
          <w:jc w:val="center"/>
        </w:trPr>
        <w:tc>
          <w:tcPr>
            <w:tcW w:w="710" w:type="pct"/>
            <w:vMerge w:val="continue"/>
            <w:tcBorders>
              <w:tl2br w:val="nil"/>
              <w:tr2bl w:val="nil"/>
            </w:tcBorders>
            <w:shd w:val="clear" w:color="auto" w:fill="auto"/>
            <w:vAlign w:val="center"/>
          </w:tcPr>
          <w:p w14:paraId="22DEDE0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sz w:val="28"/>
                <w:szCs w:val="28"/>
                <w14:textFill>
                  <w14:solidFill>
                    <w14:schemeClr w14:val="tx1"/>
                  </w14:solidFill>
                </w14:textFill>
              </w:rPr>
            </w:pPr>
          </w:p>
        </w:tc>
        <w:tc>
          <w:tcPr>
            <w:tcW w:w="2348" w:type="pct"/>
            <w:tcBorders>
              <w:tl2br w:val="nil"/>
              <w:tr2bl w:val="nil"/>
            </w:tcBorders>
            <w:shd w:val="clear" w:color="auto" w:fill="auto"/>
            <w:vAlign w:val="center"/>
          </w:tcPr>
          <w:p w14:paraId="4B27E6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案件受理办理率</w:t>
            </w:r>
          </w:p>
        </w:tc>
        <w:tc>
          <w:tcPr>
            <w:tcW w:w="756" w:type="pct"/>
            <w:tcBorders>
              <w:tl2br w:val="nil"/>
              <w:tr2bl w:val="nil"/>
            </w:tcBorders>
            <w:shd w:val="clear" w:color="auto" w:fill="auto"/>
            <w:vAlign w:val="center"/>
          </w:tcPr>
          <w:p w14:paraId="0190DD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c>
          <w:tcPr>
            <w:tcW w:w="1185" w:type="pct"/>
            <w:tcBorders>
              <w:tl2br w:val="nil"/>
              <w:tr2bl w:val="nil"/>
            </w:tcBorders>
            <w:shd w:val="clear" w:color="auto" w:fill="auto"/>
            <w:vAlign w:val="center"/>
          </w:tcPr>
          <w:p w14:paraId="296D2DC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r>
      <w:tr w14:paraId="01EB1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88" w:hRule="atLeast"/>
          <w:jc w:val="center"/>
        </w:trPr>
        <w:tc>
          <w:tcPr>
            <w:tcW w:w="710" w:type="pct"/>
            <w:vMerge w:val="continue"/>
            <w:tcBorders>
              <w:tl2br w:val="nil"/>
              <w:tr2bl w:val="nil"/>
            </w:tcBorders>
            <w:shd w:val="clear" w:color="auto" w:fill="auto"/>
            <w:vAlign w:val="center"/>
          </w:tcPr>
          <w:p w14:paraId="309877A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000000" w:themeColor="text1"/>
                <w:sz w:val="28"/>
                <w:szCs w:val="28"/>
                <w14:textFill>
                  <w14:solidFill>
                    <w14:schemeClr w14:val="tx1"/>
                  </w14:solidFill>
                </w14:textFill>
              </w:rPr>
            </w:pPr>
          </w:p>
        </w:tc>
        <w:tc>
          <w:tcPr>
            <w:tcW w:w="2348" w:type="pct"/>
            <w:tcBorders>
              <w:tl2br w:val="nil"/>
              <w:tr2bl w:val="nil"/>
            </w:tcBorders>
            <w:shd w:val="clear" w:color="auto" w:fill="auto"/>
            <w:vAlign w:val="center"/>
          </w:tcPr>
          <w:p w14:paraId="593DF4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物业服务验收合格率</w:t>
            </w:r>
          </w:p>
        </w:tc>
        <w:tc>
          <w:tcPr>
            <w:tcW w:w="756" w:type="pct"/>
            <w:tcBorders>
              <w:tl2br w:val="nil"/>
              <w:tr2bl w:val="nil"/>
            </w:tcBorders>
            <w:shd w:val="clear" w:color="auto" w:fill="auto"/>
            <w:vAlign w:val="center"/>
          </w:tcPr>
          <w:p w14:paraId="293F6A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c>
          <w:tcPr>
            <w:tcW w:w="1185" w:type="pct"/>
            <w:tcBorders>
              <w:tl2br w:val="nil"/>
              <w:tr2bl w:val="nil"/>
            </w:tcBorders>
            <w:shd w:val="clear" w:color="auto" w:fill="auto"/>
            <w:vAlign w:val="center"/>
          </w:tcPr>
          <w:p w14:paraId="72875A9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r>
      <w:tr w14:paraId="640D0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5" w:hRule="atLeast"/>
          <w:jc w:val="center"/>
        </w:trPr>
        <w:tc>
          <w:tcPr>
            <w:tcW w:w="710" w:type="pct"/>
            <w:vMerge w:val="continue"/>
            <w:tcBorders>
              <w:tl2br w:val="nil"/>
              <w:tr2bl w:val="nil"/>
            </w:tcBorders>
            <w:shd w:val="clear" w:color="auto" w:fill="auto"/>
            <w:vAlign w:val="center"/>
          </w:tcPr>
          <w:p w14:paraId="309770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color w:val="000000" w:themeColor="text1"/>
                <w:sz w:val="28"/>
                <w:szCs w:val="28"/>
                <w14:textFill>
                  <w14:solidFill>
                    <w14:schemeClr w14:val="tx1"/>
                  </w14:solidFill>
                </w14:textFill>
              </w:rPr>
            </w:pPr>
          </w:p>
        </w:tc>
        <w:tc>
          <w:tcPr>
            <w:tcW w:w="2348" w:type="pct"/>
            <w:tcBorders>
              <w:tl2br w:val="nil"/>
              <w:tr2bl w:val="nil"/>
            </w:tcBorders>
            <w:shd w:val="clear" w:color="auto" w:fill="auto"/>
            <w:vAlign w:val="center"/>
          </w:tcPr>
          <w:p w14:paraId="1E34BD7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印刷材料验收合格率</w:t>
            </w:r>
          </w:p>
        </w:tc>
        <w:tc>
          <w:tcPr>
            <w:tcW w:w="756" w:type="pct"/>
            <w:tcBorders>
              <w:tl2br w:val="nil"/>
              <w:tr2bl w:val="nil"/>
            </w:tcBorders>
            <w:shd w:val="clear" w:color="auto" w:fill="auto"/>
            <w:vAlign w:val="center"/>
          </w:tcPr>
          <w:p w14:paraId="172F36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c>
          <w:tcPr>
            <w:tcW w:w="1185" w:type="pct"/>
            <w:tcBorders>
              <w:tl2br w:val="nil"/>
              <w:tr2bl w:val="nil"/>
            </w:tcBorders>
            <w:shd w:val="clear" w:color="auto" w:fill="auto"/>
            <w:vAlign w:val="center"/>
          </w:tcPr>
          <w:p w14:paraId="2C10A70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r>
      <w:tr w14:paraId="6C92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restart"/>
            <w:tcBorders>
              <w:tl2br w:val="nil"/>
              <w:tr2bl w:val="nil"/>
            </w:tcBorders>
            <w:shd w:val="clear" w:color="auto" w:fill="auto"/>
            <w:vAlign w:val="center"/>
          </w:tcPr>
          <w:p w14:paraId="642905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ascii="仿宋" w:hAnsi="仿宋" w:eastAsia="仿宋" w:cs="仿宋"/>
                <w:color w:val="000000" w:themeColor="text1"/>
                <w:kern w:val="0"/>
                <w:sz w:val="28"/>
                <w:szCs w:val="28"/>
                <w:lang w:bidi="ar"/>
                <w14:textFill>
                  <w14:solidFill>
                    <w14:schemeClr w14:val="tx1"/>
                  </w14:solidFill>
                </w14:textFill>
              </w:rPr>
              <w:t>产出时效</w:t>
            </w:r>
          </w:p>
        </w:tc>
        <w:tc>
          <w:tcPr>
            <w:tcW w:w="2348" w:type="pct"/>
            <w:tcBorders>
              <w:tl2br w:val="nil"/>
              <w:tr2bl w:val="nil"/>
            </w:tcBorders>
            <w:shd w:val="clear" w:color="auto" w:fill="auto"/>
            <w:vAlign w:val="center"/>
          </w:tcPr>
          <w:p w14:paraId="4440DB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法定时限内结案率</w:t>
            </w:r>
          </w:p>
        </w:tc>
        <w:tc>
          <w:tcPr>
            <w:tcW w:w="756" w:type="pct"/>
            <w:tcBorders>
              <w:tl2br w:val="nil"/>
              <w:tr2bl w:val="nil"/>
            </w:tcBorders>
            <w:shd w:val="clear" w:color="auto" w:fill="auto"/>
            <w:vAlign w:val="center"/>
          </w:tcPr>
          <w:p w14:paraId="44A3B5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c>
          <w:tcPr>
            <w:tcW w:w="1185" w:type="pct"/>
            <w:tcBorders>
              <w:tl2br w:val="nil"/>
              <w:tr2bl w:val="nil"/>
            </w:tcBorders>
            <w:shd w:val="clear" w:color="auto" w:fill="auto"/>
            <w:vAlign w:val="center"/>
          </w:tcPr>
          <w:p w14:paraId="7DB75B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r>
      <w:tr w14:paraId="030CF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continue"/>
            <w:tcBorders>
              <w:tl2br w:val="nil"/>
              <w:tr2bl w:val="nil"/>
            </w:tcBorders>
            <w:shd w:val="clear" w:color="auto" w:fill="auto"/>
            <w:vAlign w:val="center"/>
          </w:tcPr>
          <w:p w14:paraId="5390A3F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eastAsia" w:ascii="仿宋" w:hAnsi="仿宋" w:eastAsia="仿宋" w:cs="仿宋"/>
                <w:color w:val="000000" w:themeColor="text1"/>
                <w:kern w:val="2"/>
                <w:sz w:val="28"/>
                <w:szCs w:val="28"/>
                <w:lang w:val="en-US" w:eastAsia="zh-CN" w:bidi="ar-SA"/>
                <w14:textFill>
                  <w14:solidFill>
                    <w14:schemeClr w14:val="tx1"/>
                  </w14:solidFill>
                </w14:textFill>
              </w:rPr>
            </w:pPr>
          </w:p>
        </w:tc>
        <w:tc>
          <w:tcPr>
            <w:tcW w:w="2348" w:type="pct"/>
            <w:tcBorders>
              <w:tl2br w:val="nil"/>
              <w:tr2bl w:val="nil"/>
            </w:tcBorders>
            <w:shd w:val="clear" w:color="auto" w:fill="auto"/>
            <w:vAlign w:val="center"/>
          </w:tcPr>
          <w:p w14:paraId="16004D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批捕案件办理时效</w:t>
            </w:r>
          </w:p>
        </w:tc>
        <w:tc>
          <w:tcPr>
            <w:tcW w:w="756" w:type="pct"/>
            <w:tcBorders>
              <w:tl2br w:val="nil"/>
              <w:tr2bl w:val="nil"/>
            </w:tcBorders>
            <w:shd w:val="clear" w:color="auto" w:fill="auto"/>
            <w:vAlign w:val="center"/>
          </w:tcPr>
          <w:p w14:paraId="0C3610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c>
          <w:tcPr>
            <w:tcW w:w="1185" w:type="pct"/>
            <w:tcBorders>
              <w:tl2br w:val="nil"/>
              <w:tr2bl w:val="nil"/>
            </w:tcBorders>
            <w:shd w:val="clear" w:color="auto" w:fill="auto"/>
            <w:vAlign w:val="center"/>
          </w:tcPr>
          <w:p w14:paraId="5F7BE8F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r>
      <w:tr w14:paraId="7F4A9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continue"/>
            <w:tcBorders>
              <w:tl2br w:val="nil"/>
              <w:tr2bl w:val="nil"/>
            </w:tcBorders>
            <w:shd w:val="clear" w:color="auto" w:fill="auto"/>
            <w:vAlign w:val="center"/>
          </w:tcPr>
          <w:p w14:paraId="7A4AF5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eastAsia" w:ascii="仿宋" w:hAnsi="仿宋" w:eastAsia="仿宋" w:cs="仿宋"/>
                <w:color w:val="000000" w:themeColor="text1"/>
                <w:kern w:val="2"/>
                <w:sz w:val="28"/>
                <w:szCs w:val="28"/>
                <w:lang w:val="en-US" w:eastAsia="zh-CN" w:bidi="ar-SA"/>
                <w14:textFill>
                  <w14:solidFill>
                    <w14:schemeClr w14:val="tx1"/>
                  </w14:solidFill>
                </w14:textFill>
              </w:rPr>
            </w:pPr>
          </w:p>
        </w:tc>
        <w:tc>
          <w:tcPr>
            <w:tcW w:w="2348" w:type="pct"/>
            <w:tcBorders>
              <w:tl2br w:val="nil"/>
              <w:tr2bl w:val="nil"/>
            </w:tcBorders>
            <w:shd w:val="clear" w:color="auto" w:fill="auto"/>
            <w:vAlign w:val="center"/>
          </w:tcPr>
          <w:p w14:paraId="2FFE68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物业保障时长</w:t>
            </w:r>
          </w:p>
        </w:tc>
        <w:tc>
          <w:tcPr>
            <w:tcW w:w="756" w:type="pct"/>
            <w:tcBorders>
              <w:tl2br w:val="nil"/>
              <w:tr2bl w:val="nil"/>
            </w:tcBorders>
            <w:shd w:val="clear" w:color="auto" w:fill="auto"/>
            <w:vAlign w:val="center"/>
          </w:tcPr>
          <w:p w14:paraId="2899CDE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c>
          <w:tcPr>
            <w:tcW w:w="1185" w:type="pct"/>
            <w:tcBorders>
              <w:tl2br w:val="nil"/>
              <w:tr2bl w:val="nil"/>
            </w:tcBorders>
            <w:shd w:val="clear" w:color="auto" w:fill="auto"/>
            <w:vAlign w:val="center"/>
          </w:tcPr>
          <w:p w14:paraId="03FE4E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p>
        </w:tc>
      </w:tr>
      <w:tr w14:paraId="740F3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continue"/>
            <w:tcBorders>
              <w:tl2br w:val="nil"/>
              <w:tr2bl w:val="nil"/>
            </w:tcBorders>
            <w:shd w:val="clear" w:color="auto" w:fill="auto"/>
            <w:vAlign w:val="center"/>
          </w:tcPr>
          <w:p w14:paraId="3904D84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eastAsia" w:ascii="仿宋" w:hAnsi="仿宋" w:eastAsia="仿宋" w:cs="仿宋"/>
                <w:color w:val="000000" w:themeColor="text1"/>
                <w:kern w:val="2"/>
                <w:sz w:val="28"/>
                <w:szCs w:val="28"/>
                <w:lang w:val="en-US" w:eastAsia="zh-CN" w:bidi="ar-SA"/>
                <w14:textFill>
                  <w14:solidFill>
                    <w14:schemeClr w14:val="tx1"/>
                  </w14:solidFill>
                </w14:textFill>
              </w:rPr>
            </w:pPr>
          </w:p>
        </w:tc>
        <w:tc>
          <w:tcPr>
            <w:tcW w:w="2348" w:type="pct"/>
            <w:tcBorders>
              <w:tl2br w:val="nil"/>
              <w:tr2bl w:val="nil"/>
            </w:tcBorders>
            <w:shd w:val="clear" w:color="auto" w:fill="auto"/>
            <w:vAlign w:val="center"/>
          </w:tcPr>
          <w:p w14:paraId="5FD8C1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维修响应时间</w:t>
            </w:r>
          </w:p>
        </w:tc>
        <w:tc>
          <w:tcPr>
            <w:tcW w:w="756" w:type="pct"/>
            <w:tcBorders>
              <w:tl2br w:val="nil"/>
              <w:tr2bl w:val="nil"/>
            </w:tcBorders>
            <w:shd w:val="clear" w:color="auto" w:fill="auto"/>
            <w:vAlign w:val="center"/>
          </w:tcPr>
          <w:p w14:paraId="633F0B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p>
        </w:tc>
        <w:tc>
          <w:tcPr>
            <w:tcW w:w="1185" w:type="pct"/>
            <w:tcBorders>
              <w:tl2br w:val="nil"/>
              <w:tr2bl w:val="nil"/>
            </w:tcBorders>
            <w:shd w:val="clear" w:color="auto" w:fill="auto"/>
            <w:vAlign w:val="center"/>
          </w:tcPr>
          <w:p w14:paraId="6F8378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p>
        </w:tc>
      </w:tr>
      <w:tr w14:paraId="58D79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restart"/>
            <w:tcBorders>
              <w:tl2br w:val="nil"/>
              <w:tr2bl w:val="nil"/>
            </w:tcBorders>
            <w:shd w:val="clear" w:color="auto" w:fill="auto"/>
            <w:vAlign w:val="center"/>
          </w:tcPr>
          <w:p w14:paraId="46BA8B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default"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产出成本</w:t>
            </w:r>
          </w:p>
        </w:tc>
        <w:tc>
          <w:tcPr>
            <w:tcW w:w="4273" w:type="dxa"/>
            <w:tcBorders>
              <w:tl2br w:val="nil"/>
              <w:tr2bl w:val="nil"/>
            </w:tcBorders>
            <w:shd w:val="clear" w:color="auto" w:fill="auto"/>
            <w:vAlign w:val="center"/>
          </w:tcPr>
          <w:p w14:paraId="2FD8BF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公开听证成本</w:t>
            </w:r>
          </w:p>
        </w:tc>
        <w:tc>
          <w:tcPr>
            <w:tcW w:w="756" w:type="pct"/>
            <w:tcBorders>
              <w:tl2br w:val="nil"/>
              <w:tr2bl w:val="nil"/>
            </w:tcBorders>
            <w:shd w:val="clear" w:color="auto" w:fill="auto"/>
            <w:vAlign w:val="center"/>
          </w:tcPr>
          <w:p w14:paraId="45D065D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1B6AC7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cs="仿宋"/>
                <w:color w:val="000000" w:themeColor="text1"/>
                <w:sz w:val="28"/>
                <w:szCs w:val="28"/>
                <w:lang w:val="en-US" w:eastAsia="zh-CN"/>
                <w14:textFill>
                  <w14:solidFill>
                    <w14:schemeClr w14:val="tx1"/>
                  </w14:solidFill>
                </w14:textFill>
              </w:rPr>
              <w:t>0</w:t>
            </w:r>
          </w:p>
        </w:tc>
      </w:tr>
      <w:tr w14:paraId="2F71C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continue"/>
            <w:tcBorders>
              <w:tl2br w:val="nil"/>
              <w:tr2bl w:val="nil"/>
            </w:tcBorders>
            <w:shd w:val="clear" w:color="auto" w:fill="auto"/>
            <w:vAlign w:val="center"/>
          </w:tcPr>
          <w:p w14:paraId="646FAE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default" w:ascii="仿宋" w:hAnsi="仿宋" w:eastAsia="仿宋" w:cs="仿宋"/>
                <w:color w:val="000000" w:themeColor="text1"/>
                <w:kern w:val="0"/>
                <w:sz w:val="28"/>
                <w:szCs w:val="28"/>
                <w:lang w:val="en-US" w:eastAsia="zh-CN" w:bidi="ar"/>
                <w14:textFill>
                  <w14:solidFill>
                    <w14:schemeClr w14:val="tx1"/>
                  </w14:solidFill>
                </w14:textFill>
              </w:rPr>
            </w:pPr>
          </w:p>
        </w:tc>
        <w:tc>
          <w:tcPr>
            <w:tcW w:w="4273" w:type="dxa"/>
            <w:tcBorders>
              <w:tl2br w:val="nil"/>
              <w:tr2bl w:val="nil"/>
            </w:tcBorders>
            <w:shd w:val="clear" w:color="auto" w:fill="auto"/>
            <w:vAlign w:val="center"/>
          </w:tcPr>
          <w:p w14:paraId="46BE55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物业服务成本</w:t>
            </w:r>
          </w:p>
        </w:tc>
        <w:tc>
          <w:tcPr>
            <w:tcW w:w="756" w:type="pct"/>
            <w:tcBorders>
              <w:tl2br w:val="nil"/>
              <w:tr2bl w:val="nil"/>
            </w:tcBorders>
            <w:shd w:val="clear" w:color="auto" w:fill="auto"/>
            <w:vAlign w:val="center"/>
          </w:tcPr>
          <w:p w14:paraId="6D7501D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2074A0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cs="仿宋"/>
                <w:color w:val="000000" w:themeColor="text1"/>
                <w:sz w:val="28"/>
                <w:szCs w:val="28"/>
                <w:lang w:val="en-US" w:eastAsia="zh-CN"/>
                <w14:textFill>
                  <w14:solidFill>
                    <w14:schemeClr w14:val="tx1"/>
                  </w14:solidFill>
                </w14:textFill>
              </w:rPr>
              <w:t>0</w:t>
            </w:r>
          </w:p>
        </w:tc>
      </w:tr>
      <w:tr w14:paraId="21924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continue"/>
            <w:tcBorders>
              <w:tl2br w:val="nil"/>
              <w:tr2bl w:val="nil"/>
            </w:tcBorders>
            <w:shd w:val="clear" w:color="auto" w:fill="auto"/>
            <w:vAlign w:val="center"/>
          </w:tcPr>
          <w:p w14:paraId="56432A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default" w:ascii="仿宋" w:hAnsi="仿宋" w:eastAsia="仿宋" w:cs="仿宋"/>
                <w:color w:val="000000" w:themeColor="text1"/>
                <w:kern w:val="0"/>
                <w:sz w:val="28"/>
                <w:szCs w:val="28"/>
                <w:lang w:val="en-US" w:eastAsia="zh-CN" w:bidi="ar"/>
                <w14:textFill>
                  <w14:solidFill>
                    <w14:schemeClr w14:val="tx1"/>
                  </w14:solidFill>
                </w14:textFill>
              </w:rPr>
            </w:pPr>
          </w:p>
        </w:tc>
        <w:tc>
          <w:tcPr>
            <w:tcW w:w="4273" w:type="dxa"/>
            <w:tcBorders>
              <w:tl2br w:val="nil"/>
              <w:tr2bl w:val="nil"/>
            </w:tcBorders>
            <w:shd w:val="clear" w:color="auto" w:fill="auto"/>
            <w:vAlign w:val="center"/>
          </w:tcPr>
          <w:p w14:paraId="4433F9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差旅费</w:t>
            </w:r>
          </w:p>
        </w:tc>
        <w:tc>
          <w:tcPr>
            <w:tcW w:w="756" w:type="pct"/>
            <w:tcBorders>
              <w:tl2br w:val="nil"/>
              <w:tr2bl w:val="nil"/>
            </w:tcBorders>
            <w:shd w:val="clear" w:color="auto" w:fill="auto"/>
            <w:vAlign w:val="center"/>
          </w:tcPr>
          <w:p w14:paraId="14011E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6817C33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18E7B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continue"/>
            <w:tcBorders>
              <w:tl2br w:val="nil"/>
              <w:tr2bl w:val="nil"/>
            </w:tcBorders>
            <w:shd w:val="clear" w:color="auto" w:fill="auto"/>
            <w:vAlign w:val="center"/>
          </w:tcPr>
          <w:p w14:paraId="32008E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default" w:ascii="仿宋" w:hAnsi="仿宋" w:eastAsia="仿宋" w:cs="仿宋"/>
                <w:color w:val="000000" w:themeColor="text1"/>
                <w:kern w:val="0"/>
                <w:sz w:val="28"/>
                <w:szCs w:val="28"/>
                <w:lang w:val="en-US" w:eastAsia="zh-CN" w:bidi="ar"/>
                <w14:textFill>
                  <w14:solidFill>
                    <w14:schemeClr w14:val="tx1"/>
                  </w14:solidFill>
                </w14:textFill>
              </w:rPr>
            </w:pPr>
          </w:p>
        </w:tc>
        <w:tc>
          <w:tcPr>
            <w:tcW w:w="4273" w:type="dxa"/>
            <w:tcBorders>
              <w:tl2br w:val="nil"/>
              <w:tr2bl w:val="nil"/>
            </w:tcBorders>
            <w:shd w:val="clear" w:color="auto" w:fill="auto"/>
            <w:vAlign w:val="center"/>
          </w:tcPr>
          <w:p w14:paraId="682C4C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项目总支出成本</w:t>
            </w:r>
          </w:p>
        </w:tc>
        <w:tc>
          <w:tcPr>
            <w:tcW w:w="756" w:type="pct"/>
            <w:tcBorders>
              <w:tl2br w:val="nil"/>
              <w:tr2bl w:val="nil"/>
            </w:tcBorders>
            <w:shd w:val="clear" w:color="auto" w:fill="auto"/>
            <w:vAlign w:val="center"/>
          </w:tcPr>
          <w:p w14:paraId="7350FED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c>
          <w:tcPr>
            <w:tcW w:w="1185" w:type="pct"/>
            <w:tcBorders>
              <w:tl2br w:val="nil"/>
              <w:tr2bl w:val="nil"/>
            </w:tcBorders>
            <w:shd w:val="clear" w:color="auto" w:fill="auto"/>
            <w:vAlign w:val="center"/>
          </w:tcPr>
          <w:p w14:paraId="6AB89F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p>
        </w:tc>
      </w:tr>
      <w:tr w14:paraId="0780F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continue"/>
            <w:tcBorders>
              <w:tl2br w:val="nil"/>
              <w:tr2bl w:val="nil"/>
            </w:tcBorders>
            <w:shd w:val="clear" w:color="auto" w:fill="auto"/>
            <w:vAlign w:val="center"/>
          </w:tcPr>
          <w:p w14:paraId="5C98078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default" w:ascii="仿宋" w:hAnsi="仿宋" w:eastAsia="仿宋" w:cs="仿宋"/>
                <w:color w:val="000000" w:themeColor="text1"/>
                <w:kern w:val="0"/>
                <w:sz w:val="28"/>
                <w:szCs w:val="28"/>
                <w:lang w:val="en-US" w:eastAsia="zh-CN" w:bidi="ar"/>
                <w14:textFill>
                  <w14:solidFill>
                    <w14:schemeClr w14:val="tx1"/>
                  </w14:solidFill>
                </w14:textFill>
              </w:rPr>
            </w:pPr>
          </w:p>
        </w:tc>
        <w:tc>
          <w:tcPr>
            <w:tcW w:w="4273" w:type="dxa"/>
            <w:tcBorders>
              <w:tl2br w:val="nil"/>
              <w:tr2bl w:val="nil"/>
            </w:tcBorders>
            <w:shd w:val="clear" w:color="auto" w:fill="auto"/>
            <w:vAlign w:val="center"/>
          </w:tcPr>
          <w:p w14:paraId="2EE25B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印刷成本</w:t>
            </w:r>
          </w:p>
        </w:tc>
        <w:tc>
          <w:tcPr>
            <w:tcW w:w="756" w:type="pct"/>
            <w:tcBorders>
              <w:tl2br w:val="nil"/>
              <w:tr2bl w:val="nil"/>
            </w:tcBorders>
            <w:shd w:val="clear" w:color="auto" w:fill="auto"/>
            <w:vAlign w:val="center"/>
          </w:tcPr>
          <w:p w14:paraId="406F7A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0.5</w:t>
            </w:r>
          </w:p>
        </w:tc>
        <w:tc>
          <w:tcPr>
            <w:tcW w:w="1185" w:type="pct"/>
            <w:tcBorders>
              <w:tl2br w:val="nil"/>
              <w:tr2bl w:val="nil"/>
            </w:tcBorders>
            <w:shd w:val="clear" w:color="auto" w:fill="auto"/>
            <w:vAlign w:val="center"/>
          </w:tcPr>
          <w:p w14:paraId="32733E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0.5</w:t>
            </w:r>
          </w:p>
        </w:tc>
      </w:tr>
      <w:tr w14:paraId="063F2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710" w:type="pct"/>
            <w:vMerge w:val="continue"/>
            <w:tcBorders>
              <w:tl2br w:val="nil"/>
              <w:tr2bl w:val="nil"/>
            </w:tcBorders>
            <w:shd w:val="clear" w:color="auto" w:fill="auto"/>
            <w:vAlign w:val="center"/>
          </w:tcPr>
          <w:p w14:paraId="657559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default" w:ascii="仿宋" w:hAnsi="仿宋" w:eastAsia="仿宋" w:cs="仿宋"/>
                <w:color w:val="000000" w:themeColor="text1"/>
                <w:kern w:val="0"/>
                <w:sz w:val="28"/>
                <w:szCs w:val="28"/>
                <w:lang w:val="en-US" w:eastAsia="zh-CN" w:bidi="ar"/>
                <w14:textFill>
                  <w14:solidFill>
                    <w14:schemeClr w14:val="tx1"/>
                  </w14:solidFill>
                </w14:textFill>
              </w:rPr>
            </w:pPr>
          </w:p>
        </w:tc>
        <w:tc>
          <w:tcPr>
            <w:tcW w:w="4273" w:type="dxa"/>
            <w:tcBorders>
              <w:tl2br w:val="nil"/>
              <w:tr2bl w:val="nil"/>
            </w:tcBorders>
            <w:shd w:val="clear" w:color="auto" w:fill="auto"/>
            <w:vAlign w:val="center"/>
          </w:tcPr>
          <w:p w14:paraId="3E1008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采购设备成本</w:t>
            </w:r>
          </w:p>
        </w:tc>
        <w:tc>
          <w:tcPr>
            <w:tcW w:w="756" w:type="pct"/>
            <w:tcBorders>
              <w:tl2br w:val="nil"/>
              <w:tr2bl w:val="nil"/>
            </w:tcBorders>
            <w:shd w:val="clear" w:color="auto" w:fill="auto"/>
            <w:vAlign w:val="center"/>
          </w:tcPr>
          <w:p w14:paraId="7D025E4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0.5</w:t>
            </w:r>
          </w:p>
        </w:tc>
        <w:tc>
          <w:tcPr>
            <w:tcW w:w="1185" w:type="pct"/>
            <w:tcBorders>
              <w:tl2br w:val="nil"/>
              <w:tr2bl w:val="nil"/>
            </w:tcBorders>
            <w:shd w:val="clear" w:color="auto" w:fill="auto"/>
            <w:vAlign w:val="center"/>
          </w:tcPr>
          <w:p w14:paraId="3741BD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0</w:t>
            </w:r>
          </w:p>
        </w:tc>
      </w:tr>
      <w:tr w14:paraId="331C0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5" w:hRule="atLeast"/>
          <w:jc w:val="center"/>
        </w:trPr>
        <w:tc>
          <w:tcPr>
            <w:tcW w:w="3058" w:type="pct"/>
            <w:gridSpan w:val="2"/>
            <w:tcBorders>
              <w:tl2br w:val="nil"/>
              <w:tr2bl w:val="nil"/>
            </w:tcBorders>
            <w:shd w:val="clear" w:color="auto" w:fill="auto"/>
            <w:vAlign w:val="center"/>
          </w:tcPr>
          <w:p w14:paraId="5B615B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kern w:val="0"/>
                <w:sz w:val="28"/>
                <w:szCs w:val="28"/>
                <w:lang w:bidi="ar"/>
                <w14:textFill>
                  <w14:solidFill>
                    <w14:schemeClr w14:val="tx1"/>
                  </w14:solidFill>
                </w14:textFill>
              </w:rPr>
              <w:t>合计</w:t>
            </w:r>
          </w:p>
        </w:tc>
        <w:tc>
          <w:tcPr>
            <w:tcW w:w="756" w:type="pct"/>
            <w:tcBorders>
              <w:tl2br w:val="nil"/>
              <w:tr2bl w:val="nil"/>
            </w:tcBorders>
            <w:shd w:val="clear" w:color="auto" w:fill="auto"/>
            <w:vAlign w:val="center"/>
          </w:tcPr>
          <w:p w14:paraId="48F045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30</w:t>
            </w:r>
          </w:p>
        </w:tc>
        <w:tc>
          <w:tcPr>
            <w:tcW w:w="1185" w:type="pct"/>
            <w:tcBorders>
              <w:tl2br w:val="nil"/>
              <w:tr2bl w:val="nil"/>
            </w:tcBorders>
            <w:shd w:val="clear" w:color="auto" w:fill="auto"/>
            <w:vAlign w:val="center"/>
          </w:tcPr>
          <w:p w14:paraId="0F5DCDA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cs="仿宋"/>
                <w:color w:val="000000" w:themeColor="text1"/>
                <w:sz w:val="28"/>
                <w:szCs w:val="28"/>
                <w:lang w:val="en-US" w:eastAsia="zh-CN"/>
                <w14:textFill>
                  <w14:solidFill>
                    <w14:schemeClr w14:val="tx1"/>
                  </w14:solidFill>
                </w14:textFill>
              </w:rPr>
              <w:t>27.5</w:t>
            </w:r>
          </w:p>
        </w:tc>
      </w:tr>
    </w:tbl>
    <w:p w14:paraId="3BBDF5E5">
      <w:pPr>
        <w:pStyle w:val="3"/>
        <w:numPr>
          <w:ilvl w:val="0"/>
          <w:numId w:val="0"/>
        </w:numPr>
        <w:spacing w:before="156" w:beforeLines="50"/>
        <w:ind w:firstLine="643" w:firstLineChars="200"/>
        <w:rPr>
          <w:color w:val="auto"/>
          <w:sz w:val="32"/>
        </w:rPr>
      </w:pPr>
      <w:bookmarkStart w:id="73" w:name="_Toc7408"/>
      <w:bookmarkStart w:id="74" w:name="_Toc25744"/>
      <w:r>
        <w:rPr>
          <w:rFonts w:hint="eastAsia"/>
          <w:color w:val="auto"/>
          <w:sz w:val="32"/>
          <w:lang w:eastAsia="zh-CN"/>
        </w:rPr>
        <w:t>（四）</w:t>
      </w:r>
      <w:r>
        <w:rPr>
          <w:color w:val="auto"/>
          <w:sz w:val="32"/>
        </w:rPr>
        <w:t>项目效益情况</w:t>
      </w:r>
      <w:bookmarkEnd w:id="73"/>
      <w:bookmarkEnd w:id="74"/>
    </w:p>
    <w:p w14:paraId="29ED4C81">
      <w:pPr>
        <w:bidi w:val="0"/>
        <w:rPr>
          <w:rFonts w:hint="eastAsia"/>
          <w:lang w:val="en-US" w:eastAsia="zh-CN"/>
        </w:rPr>
      </w:pPr>
      <w:r>
        <w:rPr>
          <w:rFonts w:hint="eastAsia"/>
          <w:lang w:val="en-US" w:eastAsia="zh-CN"/>
        </w:rPr>
        <w:t>项目效益情况包括社会效益、可持续影响和满意度三部分指标，满分30分，最终得分27分。</w:t>
      </w:r>
    </w:p>
    <w:p w14:paraId="75951A25">
      <w:pPr>
        <w:bidi w:val="0"/>
        <w:rPr>
          <w:rFonts w:hint="eastAsia"/>
          <w:lang w:val="en-US" w:eastAsia="zh-CN"/>
        </w:rPr>
      </w:pPr>
      <w:r>
        <w:rPr>
          <w:rFonts w:hint="eastAsia"/>
          <w:lang w:val="en-US" w:eastAsia="zh-CN"/>
        </w:rPr>
        <w:t>社会效益方面，满分10分，得分9分。经工作组查阅相关资料、现场核查，呼和浩特市赛罕区人民检察院通过项目开展提升了办案人员的办案能力，提高了办案的效率。</w:t>
      </w:r>
    </w:p>
    <w:p w14:paraId="4DB4F71D">
      <w:pPr>
        <w:keepNext w:val="0"/>
        <w:keepLines w:val="0"/>
        <w:pageBreakBefore w:val="0"/>
        <w:widowControl w:val="0"/>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可持续影响方面，满分10分，得分9分。呼和浩特市赛罕区人民检察院通过开展办案（办案）业务经费项目，保障了司法办案顺利开展，促进了赛罕区人民检察院司法监督职能的发挥。</w:t>
      </w:r>
    </w:p>
    <w:p w14:paraId="11AF435C">
      <w:pPr>
        <w:bidi w:val="0"/>
        <w:rPr>
          <w:rFonts w:hint="eastAsia"/>
          <w:lang w:val="en-US" w:eastAsia="zh-CN"/>
        </w:rPr>
      </w:pPr>
      <w:r>
        <w:rPr>
          <w:rFonts w:hint="eastAsia"/>
          <w:lang w:val="en-US" w:eastAsia="zh-CN"/>
        </w:rPr>
        <w:t>满意度方面，满分10分，得分9分。经工作组统计分析，人民群众实际满意度90%。</w:t>
      </w:r>
    </w:p>
    <w:tbl>
      <w:tblPr>
        <w:tblStyle w:val="2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601"/>
        <w:gridCol w:w="4258"/>
        <w:gridCol w:w="1567"/>
        <w:gridCol w:w="1671"/>
      </w:tblGrid>
      <w:tr w14:paraId="141D5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0" w:hRule="atLeast"/>
        </w:trPr>
        <w:tc>
          <w:tcPr>
            <w:tcW w:w="880" w:type="pct"/>
            <w:tcBorders>
              <w:tl2br w:val="nil"/>
              <w:tr2bl w:val="nil"/>
            </w:tcBorders>
            <w:shd w:val="clear" w:color="auto" w:fill="auto"/>
            <w:vAlign w:val="bottom"/>
          </w:tcPr>
          <w:p w14:paraId="24364998">
            <w:pPr>
              <w:keepNext w:val="0"/>
              <w:keepLines w:val="0"/>
              <w:pageBreakBefore w:val="0"/>
              <w:kinsoku/>
              <w:wordWrap/>
              <w:overflowPunct/>
              <w:topLinePunct w:val="0"/>
              <w:autoSpaceDE/>
              <w:autoSpaceDN/>
              <w:bidi w:val="0"/>
              <w:adjustRightInd/>
              <w:snapToGrid/>
              <w:spacing w:line="240" w:lineRule="auto"/>
              <w:ind w:firstLine="0" w:firstLineChars="0"/>
              <w:jc w:val="center"/>
              <w:rPr>
                <w:rFonts w:ascii="仿宋" w:hAnsi="仿宋" w:eastAsia="仿宋" w:cs="仿宋"/>
                <w:b/>
                <w:color w:val="auto"/>
                <w:sz w:val="28"/>
                <w:szCs w:val="28"/>
              </w:rPr>
            </w:pPr>
            <w:r>
              <w:rPr>
                <w:rFonts w:hint="eastAsia" w:ascii="仿宋" w:hAnsi="仿宋" w:eastAsia="仿宋" w:cs="仿宋"/>
                <w:bCs/>
                <w:color w:val="auto"/>
                <w:kern w:val="0"/>
                <w:sz w:val="32"/>
                <w:szCs w:val="32"/>
                <w:lang w:val="en-US" w:eastAsia="zh-CN" w:bidi="ar"/>
              </w:rPr>
              <w:br w:type="page"/>
            </w:r>
            <w:r>
              <w:rPr>
                <w:rFonts w:ascii="仿宋" w:hAnsi="仿宋" w:eastAsia="仿宋" w:cs="仿宋"/>
                <w:b/>
                <w:color w:val="auto"/>
                <w:kern w:val="0"/>
                <w:sz w:val="28"/>
                <w:szCs w:val="28"/>
                <w:lang w:bidi="ar"/>
              </w:rPr>
              <w:t>指标</w:t>
            </w:r>
          </w:p>
        </w:tc>
        <w:tc>
          <w:tcPr>
            <w:tcW w:w="2339" w:type="pct"/>
            <w:tcBorders>
              <w:tl2br w:val="nil"/>
              <w:tr2bl w:val="nil"/>
            </w:tcBorders>
            <w:shd w:val="clear" w:color="auto" w:fill="auto"/>
            <w:vAlign w:val="bottom"/>
          </w:tcPr>
          <w:p w14:paraId="025FBCC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b/>
                <w:color w:val="auto"/>
                <w:sz w:val="28"/>
                <w:szCs w:val="28"/>
              </w:rPr>
            </w:pPr>
            <w:r>
              <w:rPr>
                <w:rFonts w:ascii="仿宋" w:hAnsi="仿宋" w:eastAsia="仿宋" w:cs="仿宋"/>
                <w:b/>
                <w:color w:val="auto"/>
                <w:kern w:val="0"/>
                <w:sz w:val="28"/>
                <w:szCs w:val="28"/>
                <w:lang w:bidi="ar"/>
              </w:rPr>
              <w:t>指标内容</w:t>
            </w:r>
          </w:p>
        </w:tc>
        <w:tc>
          <w:tcPr>
            <w:tcW w:w="861" w:type="pct"/>
            <w:tcBorders>
              <w:tl2br w:val="nil"/>
              <w:tr2bl w:val="nil"/>
            </w:tcBorders>
            <w:shd w:val="clear" w:color="auto" w:fill="auto"/>
            <w:vAlign w:val="bottom"/>
          </w:tcPr>
          <w:p w14:paraId="1CDE67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b/>
                <w:color w:val="auto"/>
                <w:sz w:val="28"/>
                <w:szCs w:val="28"/>
              </w:rPr>
            </w:pPr>
            <w:r>
              <w:rPr>
                <w:rFonts w:ascii="仿宋" w:hAnsi="仿宋" w:eastAsia="仿宋" w:cs="仿宋"/>
                <w:b/>
                <w:color w:val="auto"/>
                <w:kern w:val="0"/>
                <w:sz w:val="28"/>
                <w:szCs w:val="28"/>
                <w:lang w:bidi="ar"/>
              </w:rPr>
              <w:t>分值</w:t>
            </w:r>
          </w:p>
        </w:tc>
        <w:tc>
          <w:tcPr>
            <w:tcW w:w="918" w:type="pct"/>
            <w:tcBorders>
              <w:tl2br w:val="nil"/>
              <w:tr2bl w:val="nil"/>
            </w:tcBorders>
            <w:shd w:val="clear" w:color="auto" w:fill="auto"/>
            <w:vAlign w:val="bottom"/>
          </w:tcPr>
          <w:p w14:paraId="00DC36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bottom"/>
              <w:rPr>
                <w:rFonts w:ascii="仿宋" w:hAnsi="仿宋" w:eastAsia="仿宋" w:cs="仿宋"/>
                <w:b/>
                <w:color w:val="auto"/>
                <w:sz w:val="28"/>
                <w:szCs w:val="28"/>
              </w:rPr>
            </w:pPr>
            <w:r>
              <w:rPr>
                <w:rFonts w:ascii="仿宋" w:hAnsi="仿宋" w:eastAsia="仿宋" w:cs="仿宋"/>
                <w:b/>
                <w:color w:val="auto"/>
                <w:kern w:val="0"/>
                <w:sz w:val="28"/>
                <w:szCs w:val="28"/>
                <w:lang w:bidi="ar"/>
              </w:rPr>
              <w:t>得分情况</w:t>
            </w:r>
          </w:p>
        </w:tc>
      </w:tr>
      <w:tr w14:paraId="0543A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3" w:hRule="atLeast"/>
        </w:trPr>
        <w:tc>
          <w:tcPr>
            <w:tcW w:w="880" w:type="pct"/>
            <w:vMerge w:val="restart"/>
            <w:tcBorders>
              <w:tl2br w:val="nil"/>
              <w:tr2bl w:val="nil"/>
            </w:tcBorders>
            <w:shd w:val="clear" w:color="auto" w:fill="auto"/>
            <w:vAlign w:val="center"/>
          </w:tcPr>
          <w:p w14:paraId="24ADD8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auto"/>
                <w:sz w:val="28"/>
                <w:szCs w:val="28"/>
              </w:rPr>
            </w:pPr>
            <w:r>
              <w:rPr>
                <w:rFonts w:hint="eastAsia" w:ascii="仿宋" w:hAnsi="仿宋" w:eastAsia="仿宋" w:cs="仿宋"/>
                <w:color w:val="auto"/>
                <w:kern w:val="0"/>
                <w:sz w:val="28"/>
                <w:szCs w:val="28"/>
                <w:lang w:bidi="ar"/>
              </w:rPr>
              <w:t>社会效益</w:t>
            </w:r>
          </w:p>
        </w:tc>
        <w:tc>
          <w:tcPr>
            <w:tcW w:w="2339" w:type="pct"/>
            <w:tcBorders>
              <w:tl2br w:val="nil"/>
              <w:tr2bl w:val="nil"/>
            </w:tcBorders>
            <w:shd w:val="clear" w:color="auto" w:fill="auto"/>
            <w:vAlign w:val="center"/>
          </w:tcPr>
          <w:p w14:paraId="1BF11B1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办案人员能力</w:t>
            </w:r>
          </w:p>
        </w:tc>
        <w:tc>
          <w:tcPr>
            <w:tcW w:w="861" w:type="pct"/>
            <w:tcBorders>
              <w:tl2br w:val="nil"/>
              <w:tr2bl w:val="nil"/>
            </w:tcBorders>
            <w:shd w:val="clear" w:color="auto" w:fill="auto"/>
            <w:vAlign w:val="center"/>
          </w:tcPr>
          <w:p w14:paraId="0A4EF33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kern w:val="0"/>
                <w:sz w:val="28"/>
                <w:szCs w:val="28"/>
                <w:lang w:val="en-US" w:eastAsia="zh-CN" w:bidi="ar"/>
              </w:rPr>
              <w:t>5</w:t>
            </w:r>
          </w:p>
        </w:tc>
        <w:tc>
          <w:tcPr>
            <w:tcW w:w="918" w:type="pct"/>
            <w:tcBorders>
              <w:tl2br w:val="nil"/>
              <w:tr2bl w:val="nil"/>
            </w:tcBorders>
            <w:shd w:val="clear" w:color="auto" w:fill="auto"/>
            <w:vAlign w:val="center"/>
          </w:tcPr>
          <w:p w14:paraId="783B51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4.5</w:t>
            </w:r>
          </w:p>
        </w:tc>
      </w:tr>
      <w:tr w14:paraId="04FCA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0" w:hRule="atLeast"/>
        </w:trPr>
        <w:tc>
          <w:tcPr>
            <w:tcW w:w="880" w:type="pct"/>
            <w:vMerge w:val="continue"/>
            <w:tcBorders>
              <w:tl2br w:val="nil"/>
              <w:tr2bl w:val="nil"/>
            </w:tcBorders>
            <w:shd w:val="clear" w:color="auto" w:fill="auto"/>
            <w:vAlign w:val="center"/>
          </w:tcPr>
          <w:p w14:paraId="0D8B31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0"/>
                <w:sz w:val="28"/>
                <w:szCs w:val="28"/>
                <w:lang w:bidi="ar"/>
              </w:rPr>
            </w:pPr>
          </w:p>
        </w:tc>
        <w:tc>
          <w:tcPr>
            <w:tcW w:w="2339" w:type="pct"/>
            <w:tcBorders>
              <w:tl2br w:val="nil"/>
              <w:tr2bl w:val="nil"/>
            </w:tcBorders>
            <w:shd w:val="clear" w:color="auto" w:fill="auto"/>
            <w:vAlign w:val="center"/>
          </w:tcPr>
          <w:p w14:paraId="569BA1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提升办案效率</w:t>
            </w:r>
          </w:p>
        </w:tc>
        <w:tc>
          <w:tcPr>
            <w:tcW w:w="861" w:type="pct"/>
            <w:tcBorders>
              <w:tl2br w:val="nil"/>
              <w:tr2bl w:val="nil"/>
            </w:tcBorders>
            <w:shd w:val="clear" w:color="auto" w:fill="auto"/>
            <w:vAlign w:val="center"/>
          </w:tcPr>
          <w:p w14:paraId="16E5FB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5</w:t>
            </w:r>
          </w:p>
        </w:tc>
        <w:tc>
          <w:tcPr>
            <w:tcW w:w="918" w:type="pct"/>
            <w:tcBorders>
              <w:tl2br w:val="nil"/>
              <w:tr2bl w:val="nil"/>
            </w:tcBorders>
            <w:shd w:val="clear" w:color="auto" w:fill="auto"/>
            <w:vAlign w:val="center"/>
          </w:tcPr>
          <w:p w14:paraId="36F48E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4.5</w:t>
            </w:r>
          </w:p>
        </w:tc>
      </w:tr>
      <w:tr w14:paraId="3171A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0" w:hRule="atLeast"/>
        </w:trPr>
        <w:tc>
          <w:tcPr>
            <w:tcW w:w="880" w:type="pct"/>
            <w:tcBorders>
              <w:tl2br w:val="nil"/>
              <w:tr2bl w:val="nil"/>
            </w:tcBorders>
            <w:shd w:val="clear" w:color="auto" w:fill="auto"/>
            <w:vAlign w:val="center"/>
          </w:tcPr>
          <w:p w14:paraId="6584367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auto"/>
                <w:sz w:val="28"/>
                <w:szCs w:val="28"/>
              </w:rPr>
            </w:pPr>
            <w:r>
              <w:rPr>
                <w:rFonts w:hint="eastAsia" w:ascii="仿宋" w:hAnsi="仿宋" w:eastAsia="仿宋" w:cs="仿宋"/>
                <w:color w:val="auto"/>
                <w:kern w:val="0"/>
                <w:sz w:val="28"/>
                <w:szCs w:val="28"/>
                <w:lang w:bidi="ar"/>
              </w:rPr>
              <w:t>可持续影响</w:t>
            </w:r>
          </w:p>
        </w:tc>
        <w:tc>
          <w:tcPr>
            <w:tcW w:w="2339" w:type="pct"/>
            <w:tcBorders>
              <w:tl2br w:val="nil"/>
              <w:tr2bl w:val="nil"/>
            </w:tcBorders>
            <w:shd w:val="clear" w:color="auto" w:fill="auto"/>
            <w:vAlign w:val="center"/>
          </w:tcPr>
          <w:p w14:paraId="6946F4F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仿宋" w:hAnsi="仿宋" w:eastAsia="仿宋" w:cs="仿宋"/>
                <w:color w:val="auto"/>
                <w:sz w:val="28"/>
                <w:szCs w:val="28"/>
                <w:lang w:val="en-US" w:eastAsia="zh-CN"/>
              </w:rPr>
              <w:t>保障司法办案顺利开展</w:t>
            </w:r>
          </w:p>
        </w:tc>
        <w:tc>
          <w:tcPr>
            <w:tcW w:w="861" w:type="pct"/>
            <w:tcBorders>
              <w:tl2br w:val="nil"/>
              <w:tr2bl w:val="nil"/>
            </w:tcBorders>
            <w:shd w:val="clear" w:color="auto" w:fill="auto"/>
            <w:vAlign w:val="center"/>
          </w:tcPr>
          <w:p w14:paraId="6B36FE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0"/>
                <w:sz w:val="28"/>
                <w:szCs w:val="28"/>
                <w:lang w:val="en-US" w:eastAsia="zh-CN" w:bidi="ar"/>
              </w:rPr>
              <w:t>10</w:t>
            </w:r>
          </w:p>
        </w:tc>
        <w:tc>
          <w:tcPr>
            <w:tcW w:w="918" w:type="pct"/>
            <w:tcBorders>
              <w:tl2br w:val="nil"/>
              <w:tr2bl w:val="nil"/>
            </w:tcBorders>
            <w:shd w:val="clear" w:color="auto" w:fill="auto"/>
            <w:vAlign w:val="center"/>
          </w:tcPr>
          <w:p w14:paraId="5B5152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0"/>
                <w:sz w:val="28"/>
                <w:szCs w:val="28"/>
                <w:lang w:val="en-US" w:eastAsia="zh-CN" w:bidi="ar"/>
              </w:rPr>
              <w:t>9</w:t>
            </w:r>
          </w:p>
        </w:tc>
      </w:tr>
      <w:tr w14:paraId="4825D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880" w:type="pct"/>
            <w:tcBorders>
              <w:tl2br w:val="nil"/>
              <w:tr2bl w:val="nil"/>
            </w:tcBorders>
            <w:shd w:val="clear" w:color="auto" w:fill="auto"/>
            <w:vAlign w:val="center"/>
          </w:tcPr>
          <w:p w14:paraId="47B7853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auto"/>
                <w:sz w:val="28"/>
                <w:szCs w:val="28"/>
              </w:rPr>
            </w:pPr>
            <w:r>
              <w:rPr>
                <w:rFonts w:hint="eastAsia" w:ascii="仿宋" w:hAnsi="仿宋" w:eastAsia="仿宋" w:cs="仿宋"/>
                <w:color w:val="auto"/>
                <w:kern w:val="0"/>
                <w:sz w:val="28"/>
                <w:szCs w:val="28"/>
                <w:lang w:bidi="ar"/>
              </w:rPr>
              <w:t>满意度</w:t>
            </w:r>
          </w:p>
        </w:tc>
        <w:tc>
          <w:tcPr>
            <w:tcW w:w="2339" w:type="pct"/>
            <w:tcBorders>
              <w:tl2br w:val="nil"/>
              <w:tr2bl w:val="nil"/>
            </w:tcBorders>
            <w:shd w:val="clear" w:color="auto" w:fill="auto"/>
            <w:vAlign w:val="center"/>
          </w:tcPr>
          <w:p w14:paraId="4EC6B6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auto"/>
                <w:sz w:val="28"/>
                <w:szCs w:val="28"/>
              </w:rPr>
            </w:pPr>
            <w:r>
              <w:rPr>
                <w:rFonts w:hint="eastAsia" w:ascii="仿宋" w:hAnsi="仿宋" w:eastAsia="仿宋" w:cs="仿宋"/>
                <w:color w:val="auto"/>
                <w:sz w:val="28"/>
                <w:szCs w:val="28"/>
                <w:lang w:val="en-US" w:eastAsia="zh-CN"/>
              </w:rPr>
              <w:t>人民群众满意度</w:t>
            </w:r>
          </w:p>
        </w:tc>
        <w:tc>
          <w:tcPr>
            <w:tcW w:w="861" w:type="pct"/>
            <w:tcBorders>
              <w:tl2br w:val="nil"/>
              <w:tr2bl w:val="nil"/>
            </w:tcBorders>
            <w:shd w:val="clear" w:color="auto" w:fill="auto"/>
            <w:vAlign w:val="center"/>
          </w:tcPr>
          <w:p w14:paraId="592735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kern w:val="0"/>
                <w:sz w:val="28"/>
                <w:szCs w:val="28"/>
                <w:lang w:val="en-US" w:eastAsia="zh-CN" w:bidi="ar"/>
              </w:rPr>
              <w:t>10</w:t>
            </w:r>
          </w:p>
        </w:tc>
        <w:tc>
          <w:tcPr>
            <w:tcW w:w="918" w:type="pct"/>
            <w:tcBorders>
              <w:tl2br w:val="nil"/>
              <w:tr2bl w:val="nil"/>
            </w:tcBorders>
            <w:shd w:val="clear" w:color="auto" w:fill="auto"/>
            <w:vAlign w:val="center"/>
          </w:tcPr>
          <w:p w14:paraId="5E92F4D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rPr>
            </w:pPr>
            <w:r>
              <w:rPr>
                <w:rFonts w:hint="eastAsia" w:ascii="仿宋" w:hAnsi="仿宋" w:cs="仿宋"/>
                <w:color w:val="auto"/>
                <w:sz w:val="28"/>
                <w:szCs w:val="28"/>
                <w:lang w:val="en-US" w:eastAsia="zh-CN"/>
              </w:rPr>
              <w:t>9</w:t>
            </w:r>
          </w:p>
        </w:tc>
      </w:tr>
      <w:tr w14:paraId="52BED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3220" w:type="pct"/>
            <w:gridSpan w:val="2"/>
            <w:tcBorders>
              <w:tl2br w:val="nil"/>
              <w:tr2bl w:val="nil"/>
            </w:tcBorders>
            <w:shd w:val="clear" w:color="auto" w:fill="auto"/>
            <w:vAlign w:val="center"/>
          </w:tcPr>
          <w:p w14:paraId="5EF5EE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ascii="仿宋" w:hAnsi="仿宋" w:eastAsia="仿宋" w:cs="仿宋"/>
                <w:color w:val="auto"/>
                <w:kern w:val="0"/>
                <w:sz w:val="28"/>
                <w:szCs w:val="28"/>
                <w:lang w:bidi="ar"/>
              </w:rPr>
            </w:pPr>
            <w:r>
              <w:rPr>
                <w:rFonts w:hint="eastAsia" w:ascii="仿宋" w:hAnsi="仿宋" w:eastAsia="仿宋" w:cs="仿宋"/>
                <w:color w:val="auto"/>
                <w:kern w:val="0"/>
                <w:sz w:val="28"/>
                <w:szCs w:val="28"/>
                <w:lang w:bidi="ar"/>
              </w:rPr>
              <w:t>合计</w:t>
            </w:r>
          </w:p>
        </w:tc>
        <w:tc>
          <w:tcPr>
            <w:tcW w:w="861" w:type="pct"/>
            <w:tcBorders>
              <w:tl2br w:val="nil"/>
              <w:tr2bl w:val="nil"/>
            </w:tcBorders>
            <w:shd w:val="clear" w:color="auto" w:fill="auto"/>
            <w:vAlign w:val="center"/>
          </w:tcPr>
          <w:p w14:paraId="60C556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30</w:t>
            </w:r>
          </w:p>
        </w:tc>
        <w:tc>
          <w:tcPr>
            <w:tcW w:w="918" w:type="pct"/>
            <w:tcBorders>
              <w:tl2br w:val="nil"/>
              <w:tr2bl w:val="nil"/>
            </w:tcBorders>
            <w:shd w:val="clear" w:color="auto" w:fill="auto"/>
            <w:vAlign w:val="center"/>
          </w:tcPr>
          <w:p w14:paraId="01C5803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w:t>
            </w:r>
            <w:r>
              <w:rPr>
                <w:rFonts w:hint="eastAsia" w:ascii="仿宋" w:hAnsi="仿宋" w:cs="仿宋"/>
                <w:color w:val="auto"/>
                <w:sz w:val="28"/>
                <w:szCs w:val="28"/>
                <w:lang w:val="en-US" w:eastAsia="zh-CN"/>
              </w:rPr>
              <w:t>7</w:t>
            </w:r>
          </w:p>
        </w:tc>
      </w:tr>
    </w:tbl>
    <w:p w14:paraId="598FAF14">
      <w:pPr>
        <w:pStyle w:val="2"/>
        <w:keepNext/>
        <w:keepLines/>
        <w:pageBreakBefore w:val="0"/>
        <w:widowControl w:val="0"/>
        <w:kinsoku/>
        <w:wordWrap/>
        <w:overflowPunct/>
        <w:topLinePunct w:val="0"/>
        <w:autoSpaceDE/>
        <w:autoSpaceDN/>
        <w:bidi w:val="0"/>
        <w:adjustRightInd/>
        <w:snapToGrid/>
        <w:ind w:firstLine="640"/>
        <w:textAlignment w:val="auto"/>
        <w:rPr>
          <w:color w:val="auto"/>
          <w:sz w:val="32"/>
          <w:szCs w:val="32"/>
        </w:rPr>
      </w:pPr>
      <w:bookmarkStart w:id="75" w:name="_Toc15438"/>
      <w:bookmarkStart w:id="76" w:name="_Toc31566"/>
      <w:r>
        <w:rPr>
          <w:color w:val="auto"/>
          <w:sz w:val="32"/>
          <w:szCs w:val="32"/>
        </w:rPr>
        <w:t>五、主要经验及做法、存在的问题及原因分析</w:t>
      </w:r>
      <w:bookmarkEnd w:id="75"/>
      <w:bookmarkEnd w:id="76"/>
    </w:p>
    <w:p w14:paraId="251CC41E">
      <w:pPr>
        <w:pStyle w:val="3"/>
        <w:ind w:firstLine="643"/>
        <w:rPr>
          <w:color w:val="auto"/>
          <w:sz w:val="32"/>
        </w:rPr>
      </w:pPr>
      <w:bookmarkStart w:id="77" w:name="_Toc28415"/>
      <w:bookmarkStart w:id="78" w:name="_Toc8663"/>
      <w:r>
        <w:rPr>
          <w:color w:val="auto"/>
          <w:sz w:val="32"/>
        </w:rPr>
        <w:t>（一）主要经验及做法</w:t>
      </w:r>
      <w:bookmarkEnd w:id="77"/>
      <w:bookmarkEnd w:id="78"/>
    </w:p>
    <w:p w14:paraId="0912FA98">
      <w:pPr>
        <w:bidi w:val="0"/>
        <w:rPr>
          <w:rFonts w:hint="eastAsia" w:ascii="仿宋" w:hAnsi="仿宋" w:eastAsia="仿宋"/>
          <w:color w:val="auto"/>
          <w:szCs w:val="32"/>
          <w:highlight w:val="none"/>
          <w:lang w:val="en-US" w:eastAsia="zh-CN"/>
        </w:rPr>
      </w:pPr>
      <w:r>
        <w:rPr>
          <w:rFonts w:hint="eastAsia"/>
          <w:lang w:val="en-US" w:eastAsia="zh-CN"/>
        </w:rPr>
        <w:t>制定了《呼和浩特市赛罕区人民检察院财务管理制度》《呼和浩特市赛罕区人民检察院绩效管理办法（试行）》等管理制度，做到了专款专用，提升了预算资金的使用绩效理念，切实落实预算绩效的主体责任。</w:t>
      </w:r>
    </w:p>
    <w:p w14:paraId="2C7BBA8F">
      <w:pPr>
        <w:pStyle w:val="3"/>
        <w:ind w:firstLine="643"/>
        <w:rPr>
          <w:color w:val="auto"/>
          <w:sz w:val="32"/>
        </w:rPr>
      </w:pPr>
      <w:bookmarkStart w:id="79" w:name="_Toc22879"/>
      <w:r>
        <w:rPr>
          <w:color w:val="auto"/>
          <w:sz w:val="32"/>
        </w:rPr>
        <w:t>（二）存在的问题及原因分析</w:t>
      </w:r>
      <w:bookmarkEnd w:id="79"/>
    </w:p>
    <w:p w14:paraId="34A318D2">
      <w:pPr>
        <w:bidi w:val="0"/>
        <w:rPr>
          <w:rFonts w:hint="eastAsia"/>
          <w:lang w:eastAsia="zh-CN"/>
        </w:rPr>
      </w:pPr>
      <w:r>
        <w:rPr>
          <w:rFonts w:hint="eastAsia"/>
          <w:lang w:val="en-US" w:eastAsia="zh-CN"/>
        </w:rPr>
        <w:t>从项目支出整体情况来看，主要扣分原因在于预算绩效指标设置不够精确</w:t>
      </w:r>
      <w:r>
        <w:rPr>
          <w:rFonts w:hint="eastAsia"/>
          <w:lang w:eastAsia="zh-CN"/>
        </w:rPr>
        <w:t>，成本指标细化不足，公开听证次数偏离较大，成本指标公开听证成本、物业服务成本、印刷成本等均存在偏差，不利于实现绩效评价的准确性和效率性。</w:t>
      </w:r>
    </w:p>
    <w:p w14:paraId="02C48455">
      <w:pPr>
        <w:bidi w:val="0"/>
        <w:rPr>
          <w:rFonts w:hint="eastAsia" w:eastAsia="仿宋" w:cs="Times New Roman"/>
          <w:kern w:val="0"/>
          <w:szCs w:val="32"/>
          <w:highlight w:val="none"/>
          <w:lang w:val="en-US" w:eastAsia="zh-CN"/>
        </w:rPr>
      </w:pPr>
      <w:r>
        <w:rPr>
          <w:rFonts w:hint="eastAsia"/>
          <w:lang w:eastAsia="zh-CN"/>
        </w:rPr>
        <w:t>预算细化程度有待提高，预算细化程度不够，成本指标中物业服务成本、采购设备成本实际完成值均超出年度目标值，反映预算编制不准确。</w:t>
      </w:r>
    </w:p>
    <w:p w14:paraId="29C4AA4A">
      <w:pPr>
        <w:pStyle w:val="2"/>
        <w:keepNext w:val="0"/>
        <w:keepLines w:val="0"/>
        <w:pageBreakBefore w:val="0"/>
        <w:widowControl w:val="0"/>
        <w:kinsoku/>
        <w:wordWrap/>
        <w:overflowPunct/>
        <w:topLinePunct w:val="0"/>
        <w:autoSpaceDE/>
        <w:autoSpaceDN/>
        <w:bidi w:val="0"/>
        <w:adjustRightInd/>
        <w:snapToGrid/>
        <w:ind w:firstLine="640"/>
        <w:textAlignment w:val="auto"/>
        <w:rPr>
          <w:color w:val="auto"/>
          <w:sz w:val="32"/>
          <w:szCs w:val="32"/>
        </w:rPr>
      </w:pPr>
      <w:bookmarkStart w:id="80" w:name="_Toc12044"/>
      <w:r>
        <w:rPr>
          <w:color w:val="auto"/>
          <w:sz w:val="32"/>
          <w:szCs w:val="32"/>
        </w:rPr>
        <w:t>六、</w:t>
      </w:r>
      <w:r>
        <w:rPr>
          <w:rFonts w:hint="eastAsia"/>
          <w:color w:val="auto"/>
          <w:sz w:val="32"/>
          <w:szCs w:val="32"/>
        </w:rPr>
        <w:t>相</w:t>
      </w:r>
      <w:r>
        <w:rPr>
          <w:color w:val="auto"/>
          <w:sz w:val="32"/>
          <w:szCs w:val="32"/>
        </w:rPr>
        <w:t>关建议</w:t>
      </w:r>
      <w:bookmarkEnd w:id="80"/>
    </w:p>
    <w:p w14:paraId="394E58F6">
      <w:pPr>
        <w:bidi w:val="0"/>
        <w:rPr>
          <w:rFonts w:hint="eastAsia"/>
          <w:lang w:val="en-US" w:eastAsia="zh-CN"/>
        </w:rPr>
      </w:pPr>
      <w:bookmarkStart w:id="81" w:name="_Toc3544"/>
      <w:bookmarkStart w:id="82" w:name="_Toc17675"/>
      <w:r>
        <w:rPr>
          <w:rFonts w:hint="eastAsia"/>
        </w:rPr>
        <w:t>一是组织人力物力加强对绩效管理工作，对业务工作经费的绩效目标进一步研究确定，以便于实际操作，更好地完成年度绩效管理工作。</w:t>
      </w:r>
      <w:r>
        <w:rPr>
          <w:rFonts w:hint="eastAsia"/>
          <w:lang w:eastAsia="zh-CN"/>
        </w:rPr>
        <w:t>二</w:t>
      </w:r>
      <w:r>
        <w:rPr>
          <w:rFonts w:hint="eastAsia"/>
        </w:rPr>
        <w:t>是加强预算绩效管理制度建设。完善预算绩效管理制度，制定预算绩效管理工作流程和实施细则，增强实用性和可操作性。将内部控制制度嵌入到预算绩效管理全过程，加强风险管理，优化指标体系，促进预算绩效管理的发展。</w:t>
      </w:r>
      <w:r>
        <w:rPr>
          <w:rFonts w:hint="eastAsia"/>
          <w:lang w:eastAsia="zh-CN"/>
        </w:rPr>
        <w:t>三</w:t>
      </w:r>
      <w:r>
        <w:rPr>
          <w:rFonts w:hint="eastAsia"/>
        </w:rPr>
        <w:t>是加大绩效评价结果应用力度，强化资金管理责任主体绩效意识，同时，将评价结果向各预算单位和项目实施单位通报，并将评价结果向社会公开。</w:t>
      </w:r>
    </w:p>
    <w:bookmarkEnd w:id="81"/>
    <w:bookmarkEnd w:id="82"/>
    <w:p w14:paraId="1598AF1A">
      <w:pPr>
        <w:pStyle w:val="2"/>
        <w:pageBreakBefore w:val="0"/>
        <w:kinsoku/>
        <w:wordWrap/>
        <w:overflowPunct/>
        <w:topLinePunct w:val="0"/>
        <w:autoSpaceDE/>
        <w:autoSpaceDN/>
        <w:bidi w:val="0"/>
        <w:spacing w:line="360" w:lineRule="auto"/>
        <w:ind w:left="0" w:leftChars="0" w:firstLine="640"/>
        <w:rPr>
          <w:rFonts w:hint="eastAsia"/>
          <w:color w:val="auto"/>
          <w:sz w:val="32"/>
          <w:szCs w:val="32"/>
          <w:lang w:val="en-US" w:eastAsia="zh-CN"/>
        </w:rPr>
      </w:pPr>
      <w:bookmarkStart w:id="83" w:name="_Toc31088"/>
      <w:bookmarkStart w:id="84" w:name="_Toc38"/>
      <w:bookmarkStart w:id="85" w:name="_Toc19895"/>
      <w:bookmarkStart w:id="86" w:name="_Toc24299"/>
      <w:r>
        <w:rPr>
          <w:rFonts w:hint="eastAsia"/>
          <w:color w:val="auto"/>
          <w:sz w:val="32"/>
          <w:szCs w:val="32"/>
          <w:lang w:val="en-US" w:eastAsia="zh-CN"/>
        </w:rPr>
        <w:t>七、其他需说明的问题</w:t>
      </w:r>
      <w:bookmarkEnd w:id="83"/>
      <w:bookmarkEnd w:id="84"/>
    </w:p>
    <w:p w14:paraId="5A4FB677">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本报告是评价机构根据项目单位所提供的资料进行全面分析与评价，结合现场考察情况综合形成的。项目单位对相关资料的真实性、合法性、合规性和完整性负责。项目本报告的结论与意见是参考性的。</w:t>
      </w:r>
    </w:p>
    <w:p w14:paraId="3BDC8AC0">
      <w:pPr>
        <w:pStyle w:val="8"/>
        <w:rPr>
          <w:rFonts w:hint="eastAsia" w:ascii="仿宋" w:hAnsi="仿宋" w:eastAsia="仿宋" w:cs="仿宋"/>
          <w:bCs/>
          <w:color w:val="auto"/>
          <w:kern w:val="0"/>
          <w:sz w:val="32"/>
          <w:szCs w:val="32"/>
          <w:lang w:val="en-US" w:eastAsia="zh-CN" w:bidi="ar"/>
        </w:rPr>
      </w:pPr>
    </w:p>
    <w:p w14:paraId="5561983F">
      <w:pPr>
        <w:adjustRightInd w:val="0"/>
        <w:snapToGrid w:val="0"/>
        <w:spacing w:line="600" w:lineRule="exact"/>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内蒙古兰威信息咨询有限公司</w:t>
      </w:r>
    </w:p>
    <w:p w14:paraId="7A8494DA">
      <w:pPr>
        <w:adjustRightInd w:val="0"/>
        <w:snapToGrid w:val="0"/>
        <w:spacing w:line="600" w:lineRule="exact"/>
        <w:jc w:val="right"/>
        <w:rPr>
          <w:rFonts w:hint="eastAsia"/>
          <w:lang w:val="en-US" w:eastAsia="zh-CN"/>
        </w:rPr>
      </w:pPr>
      <w:r>
        <w:rPr>
          <w:rFonts w:hint="eastAsia" w:ascii="仿宋" w:hAnsi="仿宋" w:eastAsia="仿宋" w:cs="仿宋"/>
          <w:sz w:val="32"/>
          <w:szCs w:val="32"/>
          <w:lang w:val="en-US" w:eastAsia="zh-CN"/>
        </w:rPr>
        <w:t>202</w:t>
      </w:r>
      <w:r>
        <w:rPr>
          <w:rFonts w:hint="eastAsia" w:ascii="仿宋" w:hAnsi="仿宋" w:cs="仿宋"/>
          <w:sz w:val="32"/>
          <w:szCs w:val="32"/>
          <w:lang w:val="en-US" w:eastAsia="zh-CN"/>
        </w:rPr>
        <w:t>5</w:t>
      </w:r>
      <w:r>
        <w:rPr>
          <w:rFonts w:hint="eastAsia" w:ascii="仿宋" w:hAnsi="仿宋" w:eastAsia="仿宋" w:cs="仿宋"/>
          <w:sz w:val="32"/>
          <w:szCs w:val="32"/>
          <w:lang w:val="en-US" w:eastAsia="zh-CN"/>
        </w:rPr>
        <w:t>年</w:t>
      </w:r>
      <w:r>
        <w:rPr>
          <w:rFonts w:hint="eastAsia" w:ascii="仿宋" w:hAnsi="仿宋" w:cs="仿宋"/>
          <w:sz w:val="32"/>
          <w:szCs w:val="32"/>
          <w:lang w:val="en-US" w:eastAsia="zh-CN"/>
        </w:rPr>
        <w:t>2</w:t>
      </w:r>
      <w:r>
        <w:rPr>
          <w:rFonts w:hint="eastAsia" w:ascii="仿宋" w:hAnsi="仿宋" w:eastAsia="仿宋" w:cs="仿宋"/>
          <w:sz w:val="32"/>
          <w:szCs w:val="32"/>
          <w:lang w:val="en-US" w:eastAsia="zh-CN"/>
        </w:rPr>
        <w:t>月</w:t>
      </w:r>
      <w:r>
        <w:rPr>
          <w:rFonts w:hint="eastAsia" w:ascii="仿宋" w:hAnsi="仿宋" w:cs="仿宋"/>
          <w:sz w:val="32"/>
          <w:szCs w:val="32"/>
          <w:lang w:val="en-US" w:eastAsia="zh-CN"/>
        </w:rPr>
        <w:t>20</w:t>
      </w:r>
      <w:r>
        <w:rPr>
          <w:rFonts w:hint="eastAsia" w:ascii="仿宋" w:hAnsi="仿宋" w:eastAsia="仿宋" w:cs="仿宋"/>
          <w:sz w:val="32"/>
          <w:szCs w:val="32"/>
          <w:lang w:val="en-US" w:eastAsia="zh-CN"/>
        </w:rPr>
        <w:t>日</w:t>
      </w:r>
    </w:p>
    <w:p w14:paraId="1FA09C6B">
      <w:pPr>
        <w:bidi w:val="0"/>
        <w:rPr>
          <w:rFonts w:hint="eastAsia" w:ascii="方正黑体简体" w:hAnsi="黑体" w:eastAsia="方正黑体简体" w:cs="黑体"/>
          <w:szCs w:val="36"/>
        </w:rPr>
      </w:pPr>
      <w:r>
        <w:rPr>
          <w:rFonts w:hint="eastAsia" w:ascii="仿宋" w:hAnsi="仿宋" w:eastAsia="仿宋" w:cs="仿宋"/>
          <w:bCs/>
          <w:color w:val="auto"/>
          <w:kern w:val="0"/>
          <w:sz w:val="32"/>
          <w:szCs w:val="32"/>
          <w:lang w:val="en-US" w:eastAsia="zh-CN" w:bidi="ar"/>
        </w:rPr>
        <w:br w:type="page"/>
      </w:r>
      <w:bookmarkEnd w:id="85"/>
      <w:bookmarkEnd w:id="86"/>
      <w:r>
        <w:rPr>
          <w:rFonts w:hint="eastAsia" w:ascii="仿宋" w:hAnsi="仿宋" w:eastAsia="仿宋" w:cs="仿宋"/>
          <w:b/>
          <w:bCs/>
          <w:color w:val="auto"/>
          <w:sz w:val="32"/>
          <w:szCs w:val="32"/>
          <w:lang w:val="en-US" w:eastAsia="zh-CN"/>
        </w:rPr>
        <w:t>附件</w:t>
      </w:r>
    </w:p>
    <w:p w14:paraId="66A4109F">
      <w:pPr>
        <w:adjustRightInd w:val="0"/>
        <w:snapToGrid w:val="0"/>
        <w:spacing w:line="60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1.</w:t>
      </w:r>
      <w:r>
        <w:rPr>
          <w:rFonts w:hint="eastAsia" w:ascii="仿宋" w:hAnsi="仿宋" w:eastAsia="仿宋" w:cs="仿宋"/>
          <w:color w:val="000000"/>
          <w:sz w:val="32"/>
          <w:szCs w:val="32"/>
          <w:lang w:eastAsia="zh-CN"/>
        </w:rPr>
        <w:t>2024年</w:t>
      </w:r>
      <w:r>
        <w:rPr>
          <w:rFonts w:hint="eastAsia" w:ascii="仿宋" w:hAnsi="仿宋" w:eastAsia="仿宋" w:cs="仿宋"/>
          <w:color w:val="000000"/>
          <w:sz w:val="32"/>
          <w:szCs w:val="32"/>
        </w:rPr>
        <w:t>度</w:t>
      </w:r>
      <w:r>
        <w:rPr>
          <w:rFonts w:hint="eastAsia" w:ascii="仿宋" w:hAnsi="仿宋" w:eastAsia="仿宋" w:cs="仿宋"/>
          <w:color w:val="000000"/>
          <w:sz w:val="32"/>
          <w:szCs w:val="32"/>
          <w:lang w:val="en-US" w:eastAsia="zh-CN"/>
        </w:rPr>
        <w:t>呼和浩特市赛罕区人民检察院办案（业务）经费</w:t>
      </w:r>
      <w:r>
        <w:rPr>
          <w:rFonts w:hint="eastAsia" w:ascii="仿宋" w:hAnsi="仿宋" w:eastAsia="仿宋" w:cs="仿宋"/>
          <w:color w:val="000000"/>
          <w:sz w:val="32"/>
          <w:szCs w:val="32"/>
        </w:rPr>
        <w:t>绩效评价</w:t>
      </w:r>
      <w:r>
        <w:rPr>
          <w:rFonts w:hint="eastAsia" w:ascii="仿宋" w:hAnsi="仿宋" w:eastAsia="仿宋" w:cs="仿宋"/>
          <w:color w:val="000000"/>
          <w:sz w:val="32"/>
          <w:szCs w:val="32"/>
          <w:lang w:val="en-US" w:eastAsia="zh-CN"/>
        </w:rPr>
        <w:t>指标体系</w:t>
      </w:r>
      <w:r>
        <w:rPr>
          <w:rFonts w:hint="eastAsia" w:ascii="仿宋" w:hAnsi="仿宋" w:eastAsia="仿宋" w:cs="仿宋"/>
          <w:sz w:val="32"/>
          <w:szCs w:val="32"/>
        </w:rPr>
        <w:t>；</w:t>
      </w:r>
    </w:p>
    <w:p w14:paraId="5238F4ED">
      <w:pPr>
        <w:adjustRightInd w:val="0"/>
        <w:snapToGrid w:val="0"/>
        <w:spacing w:line="600" w:lineRule="exact"/>
        <w:ind w:firstLine="640" w:firstLineChars="200"/>
        <w:rPr>
          <w:rFonts w:hint="eastAsia" w:ascii="仿宋" w:hAnsi="仿宋" w:eastAsia="仿宋" w:cs="仿宋"/>
          <w:bCs/>
          <w:color w:val="auto"/>
          <w:kern w:val="0"/>
          <w:sz w:val="32"/>
          <w:szCs w:val="32"/>
          <w:lang w:val="en-US" w:eastAsia="zh-CN" w:bidi="ar"/>
        </w:rPr>
      </w:pPr>
      <w:r>
        <w:rPr>
          <w:rFonts w:hint="eastAsia" w:ascii="仿宋" w:hAnsi="仿宋" w:eastAsia="仿宋" w:cs="仿宋"/>
          <w:color w:val="000000"/>
          <w:sz w:val="32"/>
          <w:szCs w:val="32"/>
          <w:lang w:val="en-US" w:eastAsia="zh-CN"/>
        </w:rPr>
        <w:t>2.项目绩效指标体系打分情况表</w:t>
      </w:r>
      <w:r>
        <w:rPr>
          <w:rFonts w:hint="eastAsia" w:ascii="仿宋" w:hAnsi="仿宋" w:eastAsia="仿宋" w:cs="仿宋"/>
          <w:bCs/>
          <w:color w:val="auto"/>
          <w:kern w:val="0"/>
          <w:sz w:val="32"/>
          <w:szCs w:val="32"/>
          <w:lang w:val="en-US" w:eastAsia="zh-CN" w:bidi="ar"/>
        </w:rPr>
        <w:br w:type="page"/>
      </w:r>
    </w:p>
    <w:p w14:paraId="60BC4DCF">
      <w:pPr>
        <w:pStyle w:val="8"/>
        <w:sectPr>
          <w:footerReference r:id="rId6" w:type="default"/>
          <w:pgSz w:w="11906" w:h="16838"/>
          <w:pgMar w:top="1417" w:right="1417" w:bottom="1134" w:left="1417" w:header="737" w:footer="850" w:gutter="0"/>
          <w:pgNumType w:start="1"/>
          <w:cols w:space="0" w:num="1"/>
          <w:docGrid w:type="lines" w:linePitch="408" w:charSpace="0"/>
        </w:sectPr>
      </w:pPr>
    </w:p>
    <w:p w14:paraId="5F292188">
      <w:pPr>
        <w:jc w:val="both"/>
        <w:rPr>
          <w:rFonts w:hint="eastAsia" w:ascii="Times New Roman" w:hAnsi="Times New Roman" w:cs="Times New Roman"/>
          <w:b/>
          <w:bCs/>
          <w:color w:val="auto"/>
          <w:sz w:val="32"/>
          <w:szCs w:val="32"/>
          <w:lang w:val="en-US" w:eastAsia="zh-CN"/>
        </w:rPr>
      </w:pPr>
      <w:r>
        <w:rPr>
          <w:rFonts w:hint="eastAsia"/>
          <w:b/>
          <w:bCs/>
          <w:color w:val="auto"/>
          <w:sz w:val="32"/>
          <w:szCs w:val="32"/>
          <w:highlight w:val="none"/>
          <w:lang w:val="en-US" w:eastAsia="zh-CN"/>
        </w:rPr>
        <w:t>附件1：</w:t>
      </w:r>
      <w:r>
        <w:rPr>
          <w:rFonts w:hint="eastAsia"/>
          <w:b/>
          <w:bCs/>
          <w:color w:val="auto"/>
          <w:sz w:val="32"/>
          <w:szCs w:val="32"/>
          <w:lang w:eastAsia="zh-CN"/>
        </w:rPr>
        <w:t>2024年</w:t>
      </w:r>
      <w:r>
        <w:rPr>
          <w:rFonts w:hint="eastAsia"/>
          <w:b/>
          <w:bCs/>
          <w:color w:val="auto"/>
          <w:sz w:val="32"/>
          <w:szCs w:val="32"/>
        </w:rPr>
        <w:t>度</w:t>
      </w:r>
      <w:r>
        <w:rPr>
          <w:rFonts w:hint="eastAsia" w:cs="Times New Roman"/>
          <w:b/>
          <w:bCs/>
          <w:color w:val="auto"/>
          <w:sz w:val="32"/>
          <w:szCs w:val="32"/>
          <w:lang w:val="en-US" w:eastAsia="zh-CN"/>
        </w:rPr>
        <w:t>呼和浩特市赛罕区人民检察院办案（业务）经费</w:t>
      </w:r>
      <w:r>
        <w:rPr>
          <w:rFonts w:hint="eastAsia" w:ascii="Times New Roman" w:hAnsi="Times New Roman" w:cs="Times New Roman"/>
          <w:b/>
          <w:bCs/>
          <w:color w:val="auto"/>
          <w:sz w:val="32"/>
          <w:szCs w:val="32"/>
        </w:rPr>
        <w:t>绩效评价</w:t>
      </w:r>
      <w:r>
        <w:rPr>
          <w:rFonts w:hint="eastAsia" w:ascii="Times New Roman" w:hAnsi="Times New Roman" w:cs="Times New Roman"/>
          <w:b/>
          <w:bCs/>
          <w:color w:val="auto"/>
          <w:sz w:val="32"/>
          <w:szCs w:val="32"/>
          <w:lang w:val="en-US" w:eastAsia="zh-CN"/>
        </w:rPr>
        <w:t>指标体系</w:t>
      </w:r>
    </w:p>
    <w:p w14:paraId="3F408A94">
      <w:pPr>
        <w:bidi w:val="0"/>
        <w:jc w:val="center"/>
        <w:rPr>
          <w:rFonts w:hint="eastAsia"/>
          <w:color w:val="auto"/>
        </w:rPr>
      </w:pPr>
      <w:bookmarkStart w:id="87" w:name="_Toc25454_WPSOffice_Level2"/>
      <w:r>
        <w:rPr>
          <w:rFonts w:hint="eastAsia" w:cs="Times New Roman"/>
          <w:b/>
          <w:bCs/>
          <w:color w:val="auto"/>
          <w:sz w:val="28"/>
          <w:szCs w:val="28"/>
          <w:lang w:val="en-US" w:eastAsia="zh-CN"/>
        </w:rPr>
        <w:t>呼和浩特市赛罕区人民检察院办案（业务）经费</w:t>
      </w:r>
      <w:r>
        <w:rPr>
          <w:rFonts w:hint="eastAsia"/>
          <w:b/>
          <w:bCs/>
          <w:color w:val="auto"/>
          <w:sz w:val="28"/>
          <w:szCs w:val="28"/>
          <w:highlight w:val="none"/>
          <w:lang w:eastAsia="zh-CN"/>
        </w:rPr>
        <w:t>绩效评价指标体系</w:t>
      </w:r>
      <w:bookmarkEnd w:id="87"/>
    </w:p>
    <w:tbl>
      <w:tblPr>
        <w:tblStyle w:val="20"/>
        <w:tblW w:w="139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53"/>
        <w:gridCol w:w="1208"/>
        <w:gridCol w:w="1695"/>
        <w:gridCol w:w="3690"/>
        <w:gridCol w:w="6169"/>
      </w:tblGrid>
      <w:tr w14:paraId="265E2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 w:hRule="atLeast"/>
          <w:tblHeader/>
          <w:jc w:val="center"/>
        </w:trPr>
        <w:tc>
          <w:tcPr>
            <w:tcW w:w="1153" w:type="dxa"/>
            <w:shd w:val="clear" w:color="auto" w:fill="AEAAAA"/>
            <w:vAlign w:val="center"/>
          </w:tcPr>
          <w:p w14:paraId="460B6A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一级指标</w:t>
            </w:r>
          </w:p>
        </w:tc>
        <w:tc>
          <w:tcPr>
            <w:tcW w:w="1208" w:type="dxa"/>
            <w:shd w:val="clear" w:color="auto" w:fill="AEAAAA"/>
            <w:vAlign w:val="center"/>
          </w:tcPr>
          <w:p w14:paraId="312BD7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二级指标</w:t>
            </w:r>
          </w:p>
        </w:tc>
        <w:tc>
          <w:tcPr>
            <w:tcW w:w="1695" w:type="dxa"/>
            <w:shd w:val="clear" w:color="auto" w:fill="AEAAAA"/>
            <w:noWrap/>
            <w:vAlign w:val="center"/>
          </w:tcPr>
          <w:p w14:paraId="38AB8F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三级指标</w:t>
            </w:r>
          </w:p>
        </w:tc>
        <w:tc>
          <w:tcPr>
            <w:tcW w:w="3690" w:type="dxa"/>
            <w:shd w:val="clear" w:color="auto" w:fill="AEAAAA"/>
            <w:noWrap/>
            <w:vAlign w:val="center"/>
          </w:tcPr>
          <w:p w14:paraId="4848F7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lang w:val="en-US" w:eastAsia="zh-CN"/>
              </w:rPr>
            </w:pPr>
            <w:r>
              <w:rPr>
                <w:rFonts w:hint="default" w:ascii="Times New Roman" w:hAnsi="Times New Roman" w:eastAsia="仿宋" w:cs="Times New Roman"/>
                <w:b/>
                <w:bCs/>
                <w:color w:val="auto"/>
                <w:sz w:val="21"/>
                <w:szCs w:val="21"/>
                <w:highlight w:val="none"/>
                <w:lang w:val="en-US" w:eastAsia="zh-CN"/>
              </w:rPr>
              <w:t>指标解释</w:t>
            </w:r>
          </w:p>
        </w:tc>
        <w:tc>
          <w:tcPr>
            <w:tcW w:w="6169" w:type="dxa"/>
            <w:shd w:val="clear" w:color="auto" w:fill="AEAAAA"/>
            <w:noWrap/>
            <w:vAlign w:val="center"/>
          </w:tcPr>
          <w:p w14:paraId="1E7336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lang w:val="en-US" w:eastAsia="zh-CN"/>
              </w:rPr>
            </w:pPr>
            <w:r>
              <w:rPr>
                <w:rFonts w:hint="eastAsia" w:ascii="Times New Roman" w:hAnsi="Times New Roman" w:eastAsia="仿宋" w:cs="Times New Roman"/>
                <w:b/>
                <w:bCs/>
                <w:color w:val="auto"/>
                <w:sz w:val="21"/>
                <w:szCs w:val="21"/>
                <w:highlight w:val="none"/>
                <w:lang w:val="en-US" w:eastAsia="zh-CN"/>
              </w:rPr>
              <w:t>指标说明</w:t>
            </w:r>
          </w:p>
        </w:tc>
      </w:tr>
      <w:tr w14:paraId="37000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4" w:hRule="atLeast"/>
          <w:jc w:val="center"/>
        </w:trPr>
        <w:tc>
          <w:tcPr>
            <w:tcW w:w="1153" w:type="dxa"/>
            <w:vMerge w:val="restart"/>
            <w:vAlign w:val="center"/>
          </w:tcPr>
          <w:p w14:paraId="4F3448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决策</w:t>
            </w:r>
          </w:p>
          <w:p w14:paraId="16ABD8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21分</w:t>
            </w:r>
            <w:r>
              <w:rPr>
                <w:rFonts w:hint="default" w:ascii="Times New Roman" w:hAnsi="Times New Roman" w:eastAsia="仿宋" w:cs="Times New Roman"/>
                <w:color w:val="auto"/>
                <w:sz w:val="21"/>
                <w:szCs w:val="21"/>
                <w:highlight w:val="none"/>
                <w:lang w:eastAsia="zh-CN"/>
              </w:rPr>
              <w:t>）</w:t>
            </w:r>
          </w:p>
        </w:tc>
        <w:tc>
          <w:tcPr>
            <w:tcW w:w="1208" w:type="dxa"/>
            <w:vMerge w:val="restart"/>
            <w:vAlign w:val="center"/>
          </w:tcPr>
          <w:p w14:paraId="5EECDF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项目</w:t>
            </w:r>
          </w:p>
          <w:p w14:paraId="314BCA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立项</w:t>
            </w:r>
          </w:p>
          <w:p w14:paraId="55C22B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8分</w:t>
            </w:r>
            <w:r>
              <w:rPr>
                <w:rFonts w:hint="default" w:ascii="Times New Roman" w:hAnsi="Times New Roman" w:eastAsia="仿宋" w:cs="Times New Roman"/>
                <w:color w:val="auto"/>
                <w:sz w:val="21"/>
                <w:szCs w:val="21"/>
                <w:highlight w:val="none"/>
                <w:lang w:eastAsia="zh-CN"/>
              </w:rPr>
              <w:t>）</w:t>
            </w:r>
          </w:p>
        </w:tc>
        <w:tc>
          <w:tcPr>
            <w:tcW w:w="1695" w:type="dxa"/>
            <w:vAlign w:val="center"/>
          </w:tcPr>
          <w:p w14:paraId="61A5DB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立项依据充分性</w:t>
            </w:r>
          </w:p>
          <w:p w14:paraId="4A08D4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5分</w:t>
            </w:r>
            <w:r>
              <w:rPr>
                <w:rFonts w:hint="default" w:ascii="Times New Roman" w:hAnsi="Times New Roman" w:eastAsia="仿宋" w:cs="Times New Roman"/>
                <w:color w:val="auto"/>
                <w:sz w:val="21"/>
                <w:szCs w:val="21"/>
                <w:highlight w:val="none"/>
                <w:lang w:eastAsia="zh-CN"/>
              </w:rPr>
              <w:t>）</w:t>
            </w:r>
          </w:p>
        </w:tc>
        <w:tc>
          <w:tcPr>
            <w:tcW w:w="3690" w:type="dxa"/>
            <w:vAlign w:val="center"/>
          </w:tcPr>
          <w:p w14:paraId="2FED17A6">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项目立项是否符合法律法规、相关政策、发展规划以及部门职责，用以反映和考核项目立项依据情况。</w:t>
            </w:r>
          </w:p>
        </w:tc>
        <w:tc>
          <w:tcPr>
            <w:tcW w:w="6169" w:type="dxa"/>
            <w:vAlign w:val="center"/>
          </w:tcPr>
          <w:p w14:paraId="059E2969">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①项目立项符合国家法律法规、国民经济发展规划和相关政策，0～1.0分；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②项目立项符合行业发展规划和政策要求，0～1.0分；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③项目立项与部门职责范围相符，属于部门履职所需，0～1.0分；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④项目属于公共财政支持范围，符合中央、地方事权支出责任划分原则，0～1.0分；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⑤项目没有与相关部门有同类项目或部门内部相关项目重复，0～1.0分。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上述评价内容每符合一项得到该项对应分值，若不符合对应项得分为0。</w:t>
            </w:r>
          </w:p>
        </w:tc>
      </w:tr>
      <w:tr w14:paraId="08ECC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1153" w:type="dxa"/>
            <w:vMerge w:val="continue"/>
            <w:vAlign w:val="center"/>
          </w:tcPr>
          <w:p w14:paraId="2EBB07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208" w:type="dxa"/>
            <w:vMerge w:val="continue"/>
            <w:vAlign w:val="center"/>
          </w:tcPr>
          <w:p w14:paraId="28D7EB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695" w:type="dxa"/>
            <w:vAlign w:val="center"/>
          </w:tcPr>
          <w:p w14:paraId="580300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立项程序规范性</w:t>
            </w:r>
          </w:p>
          <w:p w14:paraId="71F142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3分</w:t>
            </w:r>
            <w:r>
              <w:rPr>
                <w:rFonts w:hint="default" w:ascii="Times New Roman" w:hAnsi="Times New Roman" w:eastAsia="仿宋" w:cs="Times New Roman"/>
                <w:color w:val="auto"/>
                <w:sz w:val="21"/>
                <w:szCs w:val="21"/>
                <w:highlight w:val="none"/>
                <w:lang w:eastAsia="zh-CN"/>
              </w:rPr>
              <w:t>）</w:t>
            </w:r>
          </w:p>
        </w:tc>
        <w:tc>
          <w:tcPr>
            <w:tcW w:w="3690" w:type="dxa"/>
            <w:vAlign w:val="center"/>
          </w:tcPr>
          <w:p w14:paraId="60AB0E4D">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项目申请、设立过程是否符合相关要求，用以反映和考核项目立项的规范情况。</w:t>
            </w:r>
          </w:p>
        </w:tc>
        <w:tc>
          <w:tcPr>
            <w:tcW w:w="6169" w:type="dxa"/>
            <w:vAlign w:val="center"/>
          </w:tcPr>
          <w:p w14:paraId="0CCD8393">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①项目申请程序符合程度评分，0～1.5分；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②审批的文件、材料符合程度评分，0～1.5分；</w:t>
            </w:r>
          </w:p>
        </w:tc>
      </w:tr>
      <w:tr w14:paraId="7301D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jc w:val="center"/>
        </w:trPr>
        <w:tc>
          <w:tcPr>
            <w:tcW w:w="1153" w:type="dxa"/>
            <w:vMerge w:val="continue"/>
            <w:vAlign w:val="center"/>
          </w:tcPr>
          <w:p w14:paraId="5E8D3B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208" w:type="dxa"/>
            <w:vMerge w:val="restart"/>
            <w:vAlign w:val="center"/>
          </w:tcPr>
          <w:p w14:paraId="616BE4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绩效</w:t>
            </w:r>
          </w:p>
          <w:p w14:paraId="5657C60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目标</w:t>
            </w:r>
          </w:p>
          <w:p w14:paraId="5F27A3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7分</w:t>
            </w:r>
            <w:r>
              <w:rPr>
                <w:rFonts w:hint="default" w:ascii="Times New Roman" w:hAnsi="Times New Roman" w:eastAsia="仿宋" w:cs="Times New Roman"/>
                <w:color w:val="auto"/>
                <w:sz w:val="21"/>
                <w:szCs w:val="21"/>
                <w:highlight w:val="none"/>
                <w:lang w:eastAsia="zh-CN"/>
              </w:rPr>
              <w:t>）</w:t>
            </w:r>
          </w:p>
        </w:tc>
        <w:tc>
          <w:tcPr>
            <w:tcW w:w="1695" w:type="dxa"/>
            <w:vAlign w:val="center"/>
          </w:tcPr>
          <w:p w14:paraId="18AAB1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绩效目标合理性</w:t>
            </w:r>
          </w:p>
          <w:p w14:paraId="0E2203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4分</w:t>
            </w:r>
            <w:r>
              <w:rPr>
                <w:rFonts w:hint="default" w:ascii="Times New Roman" w:hAnsi="Times New Roman" w:eastAsia="仿宋" w:cs="Times New Roman"/>
                <w:color w:val="auto"/>
                <w:sz w:val="21"/>
                <w:szCs w:val="21"/>
                <w:highlight w:val="none"/>
                <w:lang w:eastAsia="zh-CN"/>
              </w:rPr>
              <w:t>）</w:t>
            </w:r>
          </w:p>
        </w:tc>
        <w:tc>
          <w:tcPr>
            <w:tcW w:w="3690" w:type="dxa"/>
            <w:vAlign w:val="center"/>
          </w:tcPr>
          <w:p w14:paraId="7EC1ADF5">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项目所设定的绩效目标是否依据充分，是否符合客观实际，用以反映和考核项目绩效目标与项目实施的相符情况。</w:t>
            </w:r>
          </w:p>
        </w:tc>
        <w:tc>
          <w:tcPr>
            <w:tcW w:w="6169" w:type="dxa"/>
            <w:vAlign w:val="center"/>
          </w:tcPr>
          <w:p w14:paraId="515A1ED0">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①项目有绩效目标，0～1.0分；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②项目绩效目标与实际工作内容具有相关性，0～1.0分；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③项目预期产出效益和效果符合正常的业绩水平，0～1.0分；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④与预算确定的项目投资额或资金量相匹配，0～1.0分。</w:t>
            </w:r>
          </w:p>
        </w:tc>
      </w:tr>
      <w:tr w14:paraId="4498B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7DE3AD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208" w:type="dxa"/>
            <w:vMerge w:val="continue"/>
            <w:vAlign w:val="center"/>
          </w:tcPr>
          <w:p w14:paraId="27752A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695" w:type="dxa"/>
            <w:vAlign w:val="center"/>
          </w:tcPr>
          <w:p w14:paraId="362D03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绩效指标明确性</w:t>
            </w:r>
          </w:p>
          <w:p w14:paraId="05FEA3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3分</w:t>
            </w:r>
            <w:r>
              <w:rPr>
                <w:rFonts w:hint="default" w:ascii="Times New Roman" w:hAnsi="Times New Roman" w:eastAsia="仿宋" w:cs="Times New Roman"/>
                <w:color w:val="auto"/>
                <w:sz w:val="21"/>
                <w:szCs w:val="21"/>
                <w:highlight w:val="none"/>
                <w:lang w:eastAsia="zh-CN"/>
              </w:rPr>
              <w:t>）</w:t>
            </w:r>
          </w:p>
        </w:tc>
        <w:tc>
          <w:tcPr>
            <w:tcW w:w="3690" w:type="dxa"/>
            <w:vAlign w:val="center"/>
          </w:tcPr>
          <w:p w14:paraId="642C0719">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b w:val="0"/>
                <w:bCs w:val="0"/>
                <w:color w:val="auto"/>
                <w:kern w:val="0"/>
                <w:sz w:val="21"/>
                <w:szCs w:val="21"/>
                <w:lang w:val="en-US" w:eastAsia="zh-CN"/>
              </w:rPr>
              <w:t>依据绩效目标设定的绩效指标是否清晰、细化、可衡量等，用以反映和考核项目绩效目标的明细化情况。</w:t>
            </w:r>
          </w:p>
        </w:tc>
        <w:tc>
          <w:tcPr>
            <w:tcW w:w="6169" w:type="dxa"/>
            <w:vAlign w:val="center"/>
          </w:tcPr>
          <w:p w14:paraId="3D1EB890">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①将项目绩效目标细化分解为具体的绩效指标，0～1.0分；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②通过清晰、可衡量的指标值予以体现，0～1.0分；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③与项目目标任务数或计划数相对应，0～1.0分。</w:t>
            </w:r>
          </w:p>
        </w:tc>
      </w:tr>
      <w:tr w14:paraId="12C9D1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1153" w:type="dxa"/>
            <w:vMerge w:val="continue"/>
            <w:vAlign w:val="center"/>
          </w:tcPr>
          <w:p w14:paraId="255F23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208" w:type="dxa"/>
            <w:vMerge w:val="restart"/>
            <w:vAlign w:val="center"/>
          </w:tcPr>
          <w:p w14:paraId="5C33AA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资金</w:t>
            </w:r>
          </w:p>
          <w:p w14:paraId="4B0362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投入</w:t>
            </w:r>
          </w:p>
          <w:p w14:paraId="701BB6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6分</w:t>
            </w:r>
            <w:r>
              <w:rPr>
                <w:rFonts w:hint="default" w:ascii="Times New Roman" w:hAnsi="Times New Roman" w:eastAsia="仿宋" w:cs="Times New Roman"/>
                <w:color w:val="auto"/>
                <w:sz w:val="21"/>
                <w:szCs w:val="21"/>
                <w:highlight w:val="none"/>
                <w:lang w:eastAsia="zh-CN"/>
              </w:rPr>
              <w:t>）</w:t>
            </w:r>
          </w:p>
        </w:tc>
        <w:tc>
          <w:tcPr>
            <w:tcW w:w="1695" w:type="dxa"/>
            <w:vAlign w:val="center"/>
          </w:tcPr>
          <w:p w14:paraId="52B298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预算编制科学性</w:t>
            </w:r>
          </w:p>
          <w:p w14:paraId="3BE0AA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4分</w:t>
            </w:r>
            <w:r>
              <w:rPr>
                <w:rFonts w:hint="default" w:ascii="Times New Roman" w:hAnsi="Times New Roman" w:eastAsia="仿宋" w:cs="Times New Roman"/>
                <w:color w:val="auto"/>
                <w:sz w:val="21"/>
                <w:szCs w:val="21"/>
                <w:highlight w:val="none"/>
                <w:lang w:eastAsia="zh-CN"/>
              </w:rPr>
              <w:t>）</w:t>
            </w:r>
          </w:p>
        </w:tc>
        <w:tc>
          <w:tcPr>
            <w:tcW w:w="3690" w:type="dxa"/>
            <w:vAlign w:val="center"/>
          </w:tcPr>
          <w:p w14:paraId="54DB8241">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b w:val="0"/>
                <w:bCs w:val="0"/>
                <w:color w:val="auto"/>
                <w:kern w:val="0"/>
                <w:sz w:val="21"/>
                <w:szCs w:val="21"/>
                <w:lang w:val="en-US" w:eastAsia="zh-CN"/>
              </w:rPr>
              <w:t>项目预算编制是否经过科学论证、有明确标准，资金额度与年度目标是否相适应，用以反映和考核项目预算编制的科学性、合理性情况。</w:t>
            </w:r>
          </w:p>
        </w:tc>
        <w:tc>
          <w:tcPr>
            <w:tcW w:w="6169" w:type="dxa"/>
            <w:vAlign w:val="center"/>
          </w:tcPr>
          <w:p w14:paraId="30F97396">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b w:val="0"/>
                <w:bCs w:val="0"/>
                <w:color w:val="auto"/>
                <w:kern w:val="0"/>
                <w:sz w:val="21"/>
                <w:szCs w:val="21"/>
                <w:lang w:val="en-US" w:eastAsia="zh-CN"/>
              </w:rPr>
              <w:t>①预算编制经过科学论证，0～1.0分；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②预算内容与项目内容匹配，0～1.0分；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③预算额度测算依据充分，按照标准编制，0～1.0分；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④预算确定的项目投资额或资金量与工作任务相匹配，0～1.0分。</w:t>
            </w:r>
          </w:p>
        </w:tc>
      </w:tr>
      <w:tr w14:paraId="5C188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2F4AA5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208" w:type="dxa"/>
            <w:vMerge w:val="continue"/>
            <w:vAlign w:val="center"/>
          </w:tcPr>
          <w:p w14:paraId="160D73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695" w:type="dxa"/>
            <w:vAlign w:val="center"/>
          </w:tcPr>
          <w:p w14:paraId="54F22D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资金分配合理性</w:t>
            </w:r>
          </w:p>
          <w:p w14:paraId="553E52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2分</w:t>
            </w:r>
            <w:r>
              <w:rPr>
                <w:rFonts w:hint="default" w:ascii="Times New Roman" w:hAnsi="Times New Roman" w:eastAsia="仿宋" w:cs="Times New Roman"/>
                <w:color w:val="auto"/>
                <w:sz w:val="21"/>
                <w:szCs w:val="21"/>
                <w:highlight w:val="none"/>
                <w:lang w:eastAsia="zh-CN"/>
              </w:rPr>
              <w:t>）</w:t>
            </w:r>
          </w:p>
        </w:tc>
        <w:tc>
          <w:tcPr>
            <w:tcW w:w="3690" w:type="dxa"/>
            <w:vAlign w:val="center"/>
          </w:tcPr>
          <w:p w14:paraId="4A7C3794">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rPr>
              <w:t>项目资金分配是否</w:t>
            </w:r>
            <w:r>
              <w:rPr>
                <w:rFonts w:hint="default" w:ascii="Times New Roman" w:hAnsi="Times New Roman" w:eastAsia="仿宋" w:cs="Times New Roman"/>
                <w:color w:val="auto"/>
                <w:sz w:val="21"/>
                <w:szCs w:val="21"/>
                <w:lang w:eastAsia="zh-CN"/>
              </w:rPr>
              <w:t>有测算依据，与补助单位或地方实际是否相适应，用以</w:t>
            </w:r>
            <w:r>
              <w:rPr>
                <w:rFonts w:hint="eastAsia" w:eastAsia="仿宋" w:cs="Times New Roman"/>
                <w:color w:val="auto"/>
                <w:sz w:val="21"/>
                <w:szCs w:val="21"/>
                <w:lang w:eastAsia="zh-CN"/>
              </w:rPr>
              <w:t>反映</w:t>
            </w:r>
            <w:r>
              <w:rPr>
                <w:rFonts w:hint="default" w:ascii="Times New Roman" w:hAnsi="Times New Roman" w:eastAsia="仿宋" w:cs="Times New Roman"/>
                <w:color w:val="auto"/>
                <w:sz w:val="21"/>
                <w:szCs w:val="21"/>
                <w:lang w:eastAsia="zh-CN"/>
              </w:rPr>
              <w:t>和考核项目预算资金分配的科学性、合理性等情况。</w:t>
            </w:r>
          </w:p>
        </w:tc>
        <w:tc>
          <w:tcPr>
            <w:tcW w:w="6169" w:type="dxa"/>
            <w:vAlign w:val="center"/>
          </w:tcPr>
          <w:p w14:paraId="0255F492">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①</w:t>
            </w:r>
            <w:r>
              <w:rPr>
                <w:rFonts w:hint="default" w:ascii="Times New Roman" w:hAnsi="Times New Roman" w:eastAsia="仿宋" w:cs="Times New Roman"/>
                <w:color w:val="auto"/>
                <w:sz w:val="21"/>
                <w:szCs w:val="21"/>
                <w:lang w:eastAsia="zh-CN"/>
              </w:rPr>
              <w:t>预算资金分配经过科学论证，</w:t>
            </w:r>
            <w:r>
              <w:rPr>
                <w:rFonts w:hint="default" w:ascii="Times New Roman" w:hAnsi="Times New Roman" w:eastAsia="仿宋" w:cs="Times New Roman"/>
                <w:b w:val="0"/>
                <w:bCs w:val="0"/>
                <w:color w:val="auto"/>
                <w:kern w:val="0"/>
                <w:sz w:val="21"/>
                <w:szCs w:val="21"/>
                <w:lang w:val="en-US" w:eastAsia="zh-CN"/>
              </w:rPr>
              <w:t>0～1.0分</w:t>
            </w:r>
            <w:r>
              <w:rPr>
                <w:rFonts w:hint="default" w:ascii="Times New Roman" w:hAnsi="Times New Roman" w:eastAsia="仿宋" w:cs="Times New Roman"/>
                <w:color w:val="auto"/>
                <w:sz w:val="21"/>
                <w:szCs w:val="21"/>
              </w:rPr>
              <w:t>；</w:t>
            </w:r>
          </w:p>
          <w:p w14:paraId="442B5EC5">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rPr>
              <w:t>②</w:t>
            </w:r>
            <w:r>
              <w:rPr>
                <w:rFonts w:hint="default" w:ascii="Times New Roman" w:hAnsi="Times New Roman" w:eastAsia="仿宋" w:cs="Times New Roman"/>
                <w:color w:val="auto"/>
                <w:sz w:val="21"/>
                <w:szCs w:val="21"/>
                <w:lang w:eastAsia="zh-CN"/>
              </w:rPr>
              <w:t>资金分配额度合理，与相符单位或地方实际相适应，</w:t>
            </w:r>
            <w:r>
              <w:rPr>
                <w:rFonts w:hint="default" w:ascii="Times New Roman" w:hAnsi="Times New Roman" w:eastAsia="仿宋" w:cs="Times New Roman"/>
                <w:b w:val="0"/>
                <w:bCs w:val="0"/>
                <w:color w:val="auto"/>
                <w:kern w:val="0"/>
                <w:sz w:val="21"/>
                <w:szCs w:val="21"/>
                <w:lang w:val="en-US" w:eastAsia="zh-CN"/>
              </w:rPr>
              <w:t>0～1.0分。</w:t>
            </w:r>
          </w:p>
        </w:tc>
      </w:tr>
      <w:tr w14:paraId="1C2AF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jc w:val="center"/>
        </w:trPr>
        <w:tc>
          <w:tcPr>
            <w:tcW w:w="1153" w:type="dxa"/>
            <w:vMerge w:val="restart"/>
            <w:vAlign w:val="center"/>
          </w:tcPr>
          <w:p w14:paraId="219DE7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过程</w:t>
            </w:r>
          </w:p>
          <w:p w14:paraId="776CCC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（19分）</w:t>
            </w:r>
          </w:p>
        </w:tc>
        <w:tc>
          <w:tcPr>
            <w:tcW w:w="1208" w:type="dxa"/>
            <w:vMerge w:val="restart"/>
            <w:vAlign w:val="center"/>
          </w:tcPr>
          <w:p w14:paraId="56B372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资金</w:t>
            </w:r>
          </w:p>
          <w:p w14:paraId="4A86C9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管理</w:t>
            </w:r>
          </w:p>
          <w:p w14:paraId="470FFF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（13</w:t>
            </w:r>
            <w:r>
              <w:rPr>
                <w:rFonts w:hint="eastAsia" w:cs="Times New Roman"/>
                <w:color w:val="auto"/>
                <w:sz w:val="21"/>
                <w:szCs w:val="21"/>
                <w:highlight w:val="none"/>
                <w:lang w:val="en-US" w:eastAsia="zh-CN"/>
              </w:rPr>
              <w:t>分</w:t>
            </w:r>
            <w:r>
              <w:rPr>
                <w:rFonts w:hint="default" w:ascii="Times New Roman" w:hAnsi="Times New Roman" w:eastAsia="仿宋" w:cs="Times New Roman"/>
                <w:color w:val="auto"/>
                <w:sz w:val="21"/>
                <w:szCs w:val="21"/>
                <w:highlight w:val="none"/>
                <w:lang w:val="en-US" w:eastAsia="zh-CN"/>
              </w:rPr>
              <w:t>）</w:t>
            </w:r>
          </w:p>
        </w:tc>
        <w:tc>
          <w:tcPr>
            <w:tcW w:w="1695" w:type="dxa"/>
            <w:vAlign w:val="center"/>
          </w:tcPr>
          <w:p w14:paraId="7C1834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资金到位率</w:t>
            </w:r>
          </w:p>
          <w:p w14:paraId="19218E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lang w:val="en-US" w:eastAsia="zh-CN"/>
              </w:rPr>
              <w:t>（4分）</w:t>
            </w:r>
          </w:p>
        </w:tc>
        <w:tc>
          <w:tcPr>
            <w:tcW w:w="3690" w:type="dxa"/>
            <w:vAlign w:val="center"/>
          </w:tcPr>
          <w:p w14:paraId="2B6ACCAD">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rPr>
              <w:t>项目资金的到位情况。</w:t>
            </w:r>
          </w:p>
        </w:tc>
        <w:tc>
          <w:tcPr>
            <w:tcW w:w="6169" w:type="dxa"/>
            <w:vAlign w:val="top"/>
          </w:tcPr>
          <w:p w14:paraId="64829556">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rPr>
              <w:t>资金到位率=实际到位资金/计划到位资金×100</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，每降低1</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扣0.02分，扣完为止。</w:t>
            </w:r>
          </w:p>
        </w:tc>
      </w:tr>
      <w:tr w14:paraId="0CA47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8" w:hRule="atLeast"/>
          <w:jc w:val="center"/>
        </w:trPr>
        <w:tc>
          <w:tcPr>
            <w:tcW w:w="1153" w:type="dxa"/>
            <w:vMerge w:val="continue"/>
            <w:vAlign w:val="center"/>
          </w:tcPr>
          <w:p w14:paraId="4AAD5A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208" w:type="dxa"/>
            <w:vMerge w:val="continue"/>
            <w:vAlign w:val="center"/>
          </w:tcPr>
          <w:p w14:paraId="0D957B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695" w:type="dxa"/>
            <w:vAlign w:val="center"/>
          </w:tcPr>
          <w:p w14:paraId="4992A1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预算执行率</w:t>
            </w:r>
          </w:p>
          <w:p w14:paraId="76412B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lang w:val="en-US" w:eastAsia="zh-CN"/>
              </w:rPr>
              <w:t>（5分）</w:t>
            </w:r>
          </w:p>
        </w:tc>
        <w:tc>
          <w:tcPr>
            <w:tcW w:w="3690" w:type="dxa"/>
            <w:vAlign w:val="center"/>
          </w:tcPr>
          <w:p w14:paraId="4E145834">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rPr>
              <w:t>项目预算资金的实际执行情况。</w:t>
            </w:r>
          </w:p>
        </w:tc>
        <w:tc>
          <w:tcPr>
            <w:tcW w:w="6169" w:type="dxa"/>
            <w:vAlign w:val="center"/>
          </w:tcPr>
          <w:p w14:paraId="70A5BF4F">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rPr>
              <w:t>预算执行率=实际支出数/预算数×100</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，预算执行率100</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1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得满分，每降低或超过1</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1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扣0.02分，</w:t>
            </w:r>
            <w:r>
              <w:rPr>
                <w:rFonts w:hint="eastAsia" w:cs="Times New Roman"/>
                <w:color w:val="auto"/>
                <w:sz w:val="21"/>
                <w:szCs w:val="21"/>
                <w:lang w:eastAsia="zh-CN"/>
              </w:rPr>
              <w:t>不足</w:t>
            </w:r>
            <w:r>
              <w:rPr>
                <w:rFonts w:hint="eastAsia" w:cs="Times New Roman"/>
                <w:color w:val="auto"/>
                <w:sz w:val="21"/>
                <w:szCs w:val="21"/>
                <w:lang w:val="en-US" w:eastAsia="zh-CN"/>
              </w:rPr>
              <w:t>1%按1%算，</w:t>
            </w:r>
            <w:r>
              <w:rPr>
                <w:rFonts w:hint="default" w:ascii="Times New Roman" w:hAnsi="Times New Roman" w:eastAsia="仿宋" w:cs="Times New Roman"/>
                <w:color w:val="auto"/>
                <w:sz w:val="21"/>
                <w:szCs w:val="21"/>
              </w:rPr>
              <w:t>扣完为止。</w:t>
            </w:r>
          </w:p>
        </w:tc>
      </w:tr>
      <w:tr w14:paraId="3AC08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jc w:val="center"/>
        </w:trPr>
        <w:tc>
          <w:tcPr>
            <w:tcW w:w="1153" w:type="dxa"/>
            <w:vMerge w:val="continue"/>
            <w:vAlign w:val="center"/>
          </w:tcPr>
          <w:p w14:paraId="7679EF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208" w:type="dxa"/>
            <w:vMerge w:val="continue"/>
            <w:vAlign w:val="center"/>
          </w:tcPr>
          <w:p w14:paraId="77AC25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695" w:type="dxa"/>
            <w:vAlign w:val="center"/>
          </w:tcPr>
          <w:p w14:paraId="45D452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资金使用合规性</w:t>
            </w:r>
          </w:p>
          <w:p w14:paraId="12BEDC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（4分）</w:t>
            </w:r>
          </w:p>
        </w:tc>
        <w:tc>
          <w:tcPr>
            <w:tcW w:w="3690" w:type="dxa"/>
            <w:vAlign w:val="center"/>
          </w:tcPr>
          <w:p w14:paraId="0FD19249">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项目资金使用是否符合相关的财务管理制度规定，用以反映和考核项目资金的规范运行情况。</w:t>
            </w:r>
          </w:p>
        </w:tc>
        <w:tc>
          <w:tcPr>
            <w:tcW w:w="6169" w:type="dxa"/>
            <w:vAlign w:val="center"/>
          </w:tcPr>
          <w:p w14:paraId="162F3286">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①符合国家财经法规和财务管理制度以及有关专项资金管理办法的规定0～1.0分；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②资金的拨付有完整的审批程序和手续，0～1.0分；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③符合项目预算批复或合同规定的用途，0～1.0分；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④是否存在截留、挤占、挪用、虚列支出等情况评分，全部不存在得1.0分，存在其中任何一项得0分。</w:t>
            </w:r>
          </w:p>
        </w:tc>
      </w:tr>
      <w:tr w14:paraId="0B354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00A47D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208" w:type="dxa"/>
            <w:vMerge w:val="restart"/>
            <w:vAlign w:val="center"/>
          </w:tcPr>
          <w:p w14:paraId="52C9F8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组织</w:t>
            </w:r>
          </w:p>
          <w:p w14:paraId="372554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实施</w:t>
            </w:r>
          </w:p>
          <w:p w14:paraId="145AB6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（6分）</w:t>
            </w:r>
          </w:p>
        </w:tc>
        <w:tc>
          <w:tcPr>
            <w:tcW w:w="1695" w:type="dxa"/>
            <w:vAlign w:val="center"/>
          </w:tcPr>
          <w:p w14:paraId="0C2CDB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管理制度健全性</w:t>
            </w:r>
          </w:p>
          <w:p w14:paraId="106D8B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（3分）</w:t>
            </w:r>
          </w:p>
        </w:tc>
        <w:tc>
          <w:tcPr>
            <w:tcW w:w="3690" w:type="dxa"/>
            <w:vAlign w:val="center"/>
          </w:tcPr>
          <w:p w14:paraId="40C8A9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项目单位的财务管理制度、业务管理制度是否健全，用以反映和考核管理制度对项目顺利实施的保障情况。</w:t>
            </w:r>
          </w:p>
        </w:tc>
        <w:tc>
          <w:tcPr>
            <w:tcW w:w="6169" w:type="dxa"/>
            <w:vAlign w:val="center"/>
          </w:tcPr>
          <w:p w14:paraId="79CB4C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①已制定或具有相应的财务和业务管理制度；</w:t>
            </w:r>
            <w:r>
              <w:rPr>
                <w:rFonts w:hint="default" w:ascii="Times New Roman" w:hAnsi="Times New Roman" w:eastAsia="仿宋" w:cs="Times New Roman"/>
                <w:b w:val="0"/>
                <w:bCs w:val="0"/>
                <w:color w:val="auto"/>
                <w:kern w:val="0"/>
                <w:sz w:val="21"/>
                <w:szCs w:val="21"/>
                <w:lang w:val="en-US" w:eastAsia="zh-CN"/>
              </w:rPr>
              <w:t>0～1.5分；</w:t>
            </w:r>
          </w:p>
          <w:p w14:paraId="27301B59">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②财务和业务管理制度合法、合规、完整。</w:t>
            </w:r>
            <w:r>
              <w:rPr>
                <w:rFonts w:hint="default" w:ascii="Times New Roman" w:hAnsi="Times New Roman" w:eastAsia="仿宋" w:cs="Times New Roman"/>
                <w:b w:val="0"/>
                <w:bCs w:val="0"/>
                <w:color w:val="auto"/>
                <w:kern w:val="0"/>
                <w:sz w:val="21"/>
                <w:szCs w:val="21"/>
                <w:lang w:val="en-US" w:eastAsia="zh-CN"/>
              </w:rPr>
              <w:t>0～1.5分。</w:t>
            </w:r>
          </w:p>
        </w:tc>
      </w:tr>
      <w:tr w14:paraId="58B04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jc w:val="center"/>
        </w:trPr>
        <w:tc>
          <w:tcPr>
            <w:tcW w:w="1153" w:type="dxa"/>
            <w:vMerge w:val="continue"/>
            <w:vAlign w:val="center"/>
          </w:tcPr>
          <w:p w14:paraId="58466A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208" w:type="dxa"/>
            <w:vMerge w:val="continue"/>
            <w:vAlign w:val="center"/>
          </w:tcPr>
          <w:p w14:paraId="0532F5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695" w:type="dxa"/>
            <w:vAlign w:val="center"/>
          </w:tcPr>
          <w:p w14:paraId="1CE806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制度执行有效性</w:t>
            </w:r>
          </w:p>
          <w:p w14:paraId="6C4B93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（3分）</w:t>
            </w:r>
          </w:p>
        </w:tc>
        <w:tc>
          <w:tcPr>
            <w:tcW w:w="3690" w:type="dxa"/>
            <w:vAlign w:val="center"/>
          </w:tcPr>
          <w:p w14:paraId="1CB32E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项目实施是否符合相关管理规定，用以反映和考核相关管理制度的有效执行情况。</w:t>
            </w:r>
          </w:p>
        </w:tc>
        <w:tc>
          <w:tcPr>
            <w:tcW w:w="6169" w:type="dxa"/>
            <w:vAlign w:val="center"/>
          </w:tcPr>
          <w:p w14:paraId="7D08CF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①遵守相关法律法规和相关管理规定，0～1.0分；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②项目调整及支出调整手续完备，0～1.0分；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③项目合同书、验收报告、技术鉴定等资料齐全并及时归档，0～1.0分；</w:t>
            </w:r>
          </w:p>
        </w:tc>
      </w:tr>
      <w:tr w14:paraId="44577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restart"/>
            <w:vAlign w:val="center"/>
          </w:tcPr>
          <w:p w14:paraId="62C31F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549C45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（30分）</w:t>
            </w:r>
          </w:p>
        </w:tc>
        <w:tc>
          <w:tcPr>
            <w:tcW w:w="1208" w:type="dxa"/>
            <w:vMerge w:val="restart"/>
            <w:vAlign w:val="center"/>
          </w:tcPr>
          <w:p w14:paraId="08C2F3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1348F5D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数量</w:t>
            </w:r>
          </w:p>
          <w:p w14:paraId="323DAF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9</w:t>
            </w:r>
            <w:r>
              <w:rPr>
                <w:rFonts w:hint="default" w:ascii="Times New Roman" w:hAnsi="Times New Roman" w:eastAsia="仿宋" w:cs="Times New Roman"/>
                <w:color w:val="auto"/>
                <w:sz w:val="21"/>
                <w:szCs w:val="21"/>
                <w:highlight w:val="none"/>
                <w:lang w:val="en-US" w:eastAsia="zh-CN"/>
              </w:rPr>
              <w:t>分）</w:t>
            </w:r>
          </w:p>
        </w:tc>
        <w:tc>
          <w:tcPr>
            <w:tcW w:w="1695" w:type="dxa"/>
            <w:shd w:val="clear" w:color="000000" w:fill="FFFFFF"/>
            <w:vAlign w:val="center"/>
          </w:tcPr>
          <w:p w14:paraId="3B7E6D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案件受理数</w:t>
            </w:r>
          </w:p>
          <w:p w14:paraId="72C9B7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2</w:t>
            </w:r>
            <w:r>
              <w:rPr>
                <w:rFonts w:hint="default" w:ascii="Times New Roman" w:hAnsi="Times New Roman" w:eastAsia="仿宋" w:cs="Times New Roman"/>
                <w:color w:val="auto"/>
                <w:sz w:val="21"/>
                <w:szCs w:val="21"/>
                <w:highlight w:val="none"/>
                <w:lang w:val="en-US" w:eastAsia="zh-CN"/>
              </w:rPr>
              <w:t>分）</w:t>
            </w:r>
          </w:p>
        </w:tc>
        <w:tc>
          <w:tcPr>
            <w:tcW w:w="3690" w:type="dxa"/>
            <w:shd w:val="clear" w:color="000000" w:fill="FFFFFF"/>
            <w:vAlign w:val="center"/>
          </w:tcPr>
          <w:p w14:paraId="6D0906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实际受理案件数是否达到目标值，用以反映和考核受理案件数完成情况。</w:t>
            </w:r>
          </w:p>
        </w:tc>
        <w:tc>
          <w:tcPr>
            <w:tcW w:w="6169" w:type="dxa"/>
            <w:shd w:val="clear" w:color="000000" w:fill="FFFFFF"/>
            <w:vAlign w:val="center"/>
          </w:tcPr>
          <w:p w14:paraId="16200F3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案件受理数</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2.</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，次数未达到目标值按比例扣减分值。</w:t>
            </w:r>
          </w:p>
        </w:tc>
      </w:tr>
      <w:tr w14:paraId="1244E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0337F3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350506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1C9038C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公开听证次数</w:t>
            </w:r>
          </w:p>
          <w:p w14:paraId="3A0E1D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分）</w:t>
            </w:r>
          </w:p>
        </w:tc>
        <w:tc>
          <w:tcPr>
            <w:tcW w:w="3690" w:type="dxa"/>
            <w:shd w:val="clear" w:color="000000" w:fill="FFFFFF"/>
            <w:vAlign w:val="center"/>
          </w:tcPr>
          <w:p w14:paraId="6EF3B1C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公开听证次数</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公开听证次数</w:t>
            </w:r>
            <w:r>
              <w:rPr>
                <w:rFonts w:hint="default" w:ascii="Times New Roman" w:hAnsi="Times New Roman" w:eastAsia="仿宋" w:cs="Times New Roman"/>
                <w:color w:val="auto"/>
                <w:sz w:val="21"/>
                <w:szCs w:val="21"/>
                <w:highlight w:val="none"/>
                <w:lang w:val="en-US" w:eastAsia="zh-CN"/>
              </w:rPr>
              <w:t>完成情况。</w:t>
            </w:r>
          </w:p>
        </w:tc>
        <w:tc>
          <w:tcPr>
            <w:tcW w:w="6169" w:type="dxa"/>
            <w:shd w:val="clear" w:color="000000" w:fill="FFFFFF"/>
            <w:vAlign w:val="center"/>
          </w:tcPr>
          <w:p w14:paraId="50E49E5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公开听证次数</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，次数未达到目标值按比例扣减分值。</w:t>
            </w:r>
          </w:p>
        </w:tc>
      </w:tr>
      <w:tr w14:paraId="75404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36C4A5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6C3670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75433CD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出差人次</w:t>
            </w:r>
            <w:r>
              <w:rPr>
                <w:rFonts w:hint="eastAsia" w:eastAsia="仿宋" w:cs="Times New Roman"/>
                <w:color w:val="auto"/>
                <w:sz w:val="21"/>
                <w:szCs w:val="21"/>
                <w:highlight w:val="none"/>
                <w:lang w:val="en-US" w:eastAsia="zh-CN"/>
              </w:rPr>
              <w:t>（1分）</w:t>
            </w:r>
          </w:p>
        </w:tc>
        <w:tc>
          <w:tcPr>
            <w:tcW w:w="3690" w:type="dxa"/>
            <w:shd w:val="clear" w:color="000000" w:fill="FFFFFF"/>
            <w:vAlign w:val="center"/>
          </w:tcPr>
          <w:p w14:paraId="26D305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出差人次</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出差人次</w:t>
            </w:r>
            <w:r>
              <w:rPr>
                <w:rFonts w:hint="default" w:ascii="Times New Roman" w:hAnsi="Times New Roman" w:eastAsia="仿宋" w:cs="Times New Roman"/>
                <w:color w:val="auto"/>
                <w:sz w:val="21"/>
                <w:szCs w:val="21"/>
                <w:highlight w:val="none"/>
                <w:lang w:val="en-US" w:eastAsia="zh-CN"/>
              </w:rPr>
              <w:t>情况。</w:t>
            </w:r>
          </w:p>
        </w:tc>
        <w:tc>
          <w:tcPr>
            <w:tcW w:w="6169" w:type="dxa"/>
            <w:shd w:val="clear" w:color="000000" w:fill="FFFFFF"/>
            <w:vAlign w:val="center"/>
          </w:tcPr>
          <w:p w14:paraId="2F757CB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出差人次</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，人次未达到目标值按比例扣减分值。</w:t>
            </w:r>
          </w:p>
        </w:tc>
      </w:tr>
      <w:tr w14:paraId="3F8FC7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5CC0C5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0069EC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039C936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物业保障面积</w:t>
            </w:r>
          </w:p>
          <w:p w14:paraId="20F4D1F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分）</w:t>
            </w:r>
          </w:p>
        </w:tc>
        <w:tc>
          <w:tcPr>
            <w:tcW w:w="3690" w:type="dxa"/>
            <w:shd w:val="clear" w:color="000000" w:fill="FFFFFF"/>
            <w:vAlign w:val="center"/>
          </w:tcPr>
          <w:p w14:paraId="00F7323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物业保障面积</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w:t>
            </w:r>
            <w:r>
              <w:rPr>
                <w:rFonts w:hint="default" w:ascii="Times New Roman" w:hAnsi="Times New Roman" w:eastAsia="仿宋" w:cs="Times New Roman"/>
                <w:color w:val="auto"/>
                <w:sz w:val="21"/>
                <w:szCs w:val="21"/>
                <w:highlight w:val="none"/>
                <w:lang w:val="en-US" w:eastAsia="zh-CN"/>
              </w:rPr>
              <w:t>情况。</w:t>
            </w:r>
          </w:p>
        </w:tc>
        <w:tc>
          <w:tcPr>
            <w:tcW w:w="6169" w:type="dxa"/>
            <w:shd w:val="clear" w:color="000000" w:fill="FFFFFF"/>
            <w:vAlign w:val="center"/>
          </w:tcPr>
          <w:p w14:paraId="3DD498F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物业保障面积</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，面积未达到目标值按比例扣减分值</w:t>
            </w:r>
          </w:p>
        </w:tc>
      </w:tr>
      <w:tr w14:paraId="6CBE59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53" w:type="dxa"/>
            <w:vMerge w:val="continue"/>
            <w:vAlign w:val="center"/>
          </w:tcPr>
          <w:p w14:paraId="6B0F24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62D84D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5C61E03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办公楼维修次数</w:t>
            </w:r>
            <w:r>
              <w:rPr>
                <w:rFonts w:hint="eastAsia" w:ascii="仿宋" w:hAnsi="仿宋" w:eastAsia="仿宋" w:cs="仿宋"/>
                <w:color w:val="auto"/>
                <w:sz w:val="21"/>
                <w:szCs w:val="21"/>
                <w:lang w:val="en-US" w:eastAsia="zh-CN"/>
              </w:rPr>
              <w:t>（1分）</w:t>
            </w:r>
          </w:p>
        </w:tc>
        <w:tc>
          <w:tcPr>
            <w:tcW w:w="3690" w:type="dxa"/>
            <w:shd w:val="clear" w:color="000000" w:fill="FFFFFF"/>
            <w:vAlign w:val="center"/>
          </w:tcPr>
          <w:p w14:paraId="4443499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办公楼维修次数</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办公楼维修次数完成</w:t>
            </w:r>
            <w:r>
              <w:rPr>
                <w:rFonts w:hint="default" w:ascii="Times New Roman" w:hAnsi="Times New Roman" w:eastAsia="仿宋" w:cs="Times New Roman"/>
                <w:color w:val="auto"/>
                <w:sz w:val="21"/>
                <w:szCs w:val="21"/>
                <w:highlight w:val="none"/>
                <w:lang w:val="en-US" w:eastAsia="zh-CN"/>
              </w:rPr>
              <w:t>情况。</w:t>
            </w:r>
          </w:p>
        </w:tc>
        <w:tc>
          <w:tcPr>
            <w:tcW w:w="6169" w:type="dxa"/>
            <w:shd w:val="clear" w:color="000000" w:fill="FFFFFF"/>
            <w:vAlign w:val="center"/>
          </w:tcPr>
          <w:p w14:paraId="5BE4B5A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办公楼维修次数</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，次数未达到目标值按比例扣减分值</w:t>
            </w:r>
          </w:p>
        </w:tc>
      </w:tr>
      <w:tr w14:paraId="44C31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0BA1B6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5AAC37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39181F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印刷材料批次</w:t>
            </w:r>
          </w:p>
          <w:p w14:paraId="1AF67C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 w:cs="Times New Roman"/>
                <w:color w:val="auto"/>
                <w:kern w:val="2"/>
                <w:sz w:val="21"/>
                <w:szCs w:val="21"/>
                <w:highlight w:val="none"/>
                <w:lang w:val="en-US" w:eastAsia="zh-CN" w:bidi="ar-SA"/>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分）</w:t>
            </w:r>
          </w:p>
        </w:tc>
        <w:tc>
          <w:tcPr>
            <w:tcW w:w="3690" w:type="dxa"/>
            <w:shd w:val="clear" w:color="000000" w:fill="FFFFFF"/>
            <w:vAlign w:val="center"/>
          </w:tcPr>
          <w:p w14:paraId="0276E1A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印刷材料批次</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印刷材料批次</w:t>
            </w:r>
            <w:r>
              <w:rPr>
                <w:rFonts w:hint="default" w:ascii="Times New Roman" w:hAnsi="Times New Roman" w:eastAsia="仿宋" w:cs="Times New Roman"/>
                <w:color w:val="auto"/>
                <w:sz w:val="21"/>
                <w:szCs w:val="21"/>
                <w:highlight w:val="none"/>
                <w:lang w:val="en-US" w:eastAsia="zh-CN"/>
              </w:rPr>
              <w:t>情况。</w:t>
            </w:r>
          </w:p>
        </w:tc>
        <w:tc>
          <w:tcPr>
            <w:tcW w:w="6169" w:type="dxa"/>
            <w:shd w:val="clear" w:color="000000" w:fill="FFFFFF"/>
            <w:vAlign w:val="center"/>
          </w:tcPr>
          <w:p w14:paraId="4566C04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印刷材料批次</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，批次未达到目标值按比例扣减分值</w:t>
            </w:r>
          </w:p>
        </w:tc>
      </w:tr>
      <w:tr w14:paraId="5603D9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188EAF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40668A5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373027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缴纳电话费次数（1分）</w:t>
            </w:r>
          </w:p>
        </w:tc>
        <w:tc>
          <w:tcPr>
            <w:tcW w:w="3690" w:type="dxa"/>
            <w:shd w:val="clear" w:color="000000" w:fill="FFFFFF"/>
            <w:vAlign w:val="center"/>
          </w:tcPr>
          <w:p w14:paraId="19895E6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缴纳电话费次数</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缴纳电话费次数完成</w:t>
            </w:r>
            <w:r>
              <w:rPr>
                <w:rFonts w:hint="default" w:ascii="Times New Roman" w:hAnsi="Times New Roman" w:eastAsia="仿宋" w:cs="Times New Roman"/>
                <w:color w:val="auto"/>
                <w:sz w:val="21"/>
                <w:szCs w:val="21"/>
                <w:highlight w:val="none"/>
                <w:lang w:val="en-US" w:eastAsia="zh-CN"/>
              </w:rPr>
              <w:t>情况。</w:t>
            </w:r>
          </w:p>
        </w:tc>
        <w:tc>
          <w:tcPr>
            <w:tcW w:w="6169" w:type="dxa"/>
            <w:shd w:val="clear" w:color="000000" w:fill="FFFFFF"/>
            <w:vAlign w:val="center"/>
          </w:tcPr>
          <w:p w14:paraId="20855E1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缴纳电话费次数</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，次数未达到目标值按比例扣减分值</w:t>
            </w:r>
          </w:p>
        </w:tc>
      </w:tr>
      <w:tr w14:paraId="2014A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178D7E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595DDD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7ACE8D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购置设备批次</w:t>
            </w:r>
          </w:p>
          <w:p w14:paraId="3BD18B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（1分）</w:t>
            </w:r>
          </w:p>
        </w:tc>
        <w:tc>
          <w:tcPr>
            <w:tcW w:w="3690" w:type="dxa"/>
            <w:shd w:val="clear" w:color="000000" w:fill="FFFFFF"/>
            <w:vAlign w:val="center"/>
          </w:tcPr>
          <w:p w14:paraId="37A5A61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购置设备批次</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购置设备批次</w:t>
            </w:r>
            <w:r>
              <w:rPr>
                <w:rFonts w:hint="default" w:ascii="Times New Roman" w:hAnsi="Times New Roman" w:eastAsia="仿宋" w:cs="Times New Roman"/>
                <w:color w:val="auto"/>
                <w:sz w:val="21"/>
                <w:szCs w:val="21"/>
                <w:highlight w:val="none"/>
                <w:lang w:val="en-US" w:eastAsia="zh-CN"/>
              </w:rPr>
              <w:t>完成情况。</w:t>
            </w:r>
          </w:p>
        </w:tc>
        <w:tc>
          <w:tcPr>
            <w:tcW w:w="6169" w:type="dxa"/>
            <w:shd w:val="clear" w:color="000000" w:fill="FFFFFF"/>
            <w:vAlign w:val="center"/>
          </w:tcPr>
          <w:p w14:paraId="503CCAD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购置设备批次</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批次</w:t>
            </w:r>
            <w:r>
              <w:rPr>
                <w:rFonts w:hint="eastAsia" w:ascii="Times New Roman" w:hAnsi="Times New Roman" w:eastAsia="仿宋" w:cs="Times New Roman"/>
                <w:color w:val="auto"/>
                <w:sz w:val="21"/>
                <w:szCs w:val="21"/>
                <w:highlight w:val="none"/>
                <w:lang w:val="en-US" w:eastAsia="zh-CN"/>
              </w:rPr>
              <w:t>未达到目标值按比例扣减分值</w:t>
            </w:r>
          </w:p>
        </w:tc>
      </w:tr>
      <w:tr w14:paraId="230D8A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69D0C5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restart"/>
            <w:vAlign w:val="center"/>
          </w:tcPr>
          <w:p w14:paraId="4CEC69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26F685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质量</w:t>
            </w:r>
          </w:p>
          <w:p w14:paraId="316553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9</w:t>
            </w:r>
            <w:r>
              <w:rPr>
                <w:rFonts w:hint="default" w:ascii="Times New Roman" w:hAnsi="Times New Roman" w:eastAsia="仿宋" w:cs="Times New Roman"/>
                <w:color w:val="auto"/>
                <w:sz w:val="21"/>
                <w:szCs w:val="21"/>
                <w:highlight w:val="none"/>
                <w:lang w:val="en-US" w:eastAsia="zh-CN"/>
              </w:rPr>
              <w:t>分）</w:t>
            </w:r>
          </w:p>
          <w:p w14:paraId="784F23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1BD86F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审判监督案件完成率（3分）</w:t>
            </w:r>
          </w:p>
        </w:tc>
        <w:tc>
          <w:tcPr>
            <w:tcW w:w="3690" w:type="dxa"/>
            <w:shd w:val="clear" w:color="000000" w:fill="FFFFFF"/>
            <w:vAlign w:val="center"/>
          </w:tcPr>
          <w:p w14:paraId="070DB66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审判监督案件完成率，考核审判监督案件是否达到目标值，考核审判监督案件的完成情况。</w:t>
            </w:r>
          </w:p>
        </w:tc>
        <w:tc>
          <w:tcPr>
            <w:tcW w:w="6169" w:type="dxa"/>
            <w:shd w:val="clear" w:color="000000" w:fill="FFFFFF"/>
            <w:vAlign w:val="center"/>
          </w:tcPr>
          <w:p w14:paraId="7ABD1B5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审判监督案件完成率</w:t>
            </w:r>
            <w:r>
              <w:rPr>
                <w:rFonts w:hint="eastAsia" w:ascii="Times New Roman" w:hAnsi="Times New Roman" w:eastAsia="仿宋" w:cs="Times New Roman"/>
                <w:color w:val="auto"/>
                <w:sz w:val="21"/>
                <w:szCs w:val="21"/>
                <w:highlight w:val="none"/>
                <w:lang w:val="en-US" w:eastAsia="zh-CN"/>
              </w:rPr>
              <w:t>（a）=</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已完成</w:t>
            </w:r>
            <w:r>
              <w:rPr>
                <w:rFonts w:hint="eastAsia" w:ascii="仿宋" w:hAnsi="仿宋" w:eastAsia="仿宋" w:cs="仿宋"/>
                <w:color w:val="000000" w:themeColor="text1"/>
                <w:kern w:val="0"/>
                <w:sz w:val="21"/>
                <w:szCs w:val="21"/>
                <w:lang w:val="en-US" w:eastAsia="zh-CN" w:bidi="ar"/>
                <w14:textFill>
                  <w14:solidFill>
                    <w14:schemeClr w14:val="tx1"/>
                  </w14:solidFill>
                </w14:textFill>
              </w:rPr>
              <w:t>审判监督案件数</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需要进行审判监督案件总数</w:t>
            </w:r>
            <w:r>
              <w:rPr>
                <w:rFonts w:hint="default" w:ascii="Times New Roman" w:hAnsi="Times New Roman" w:eastAsia="仿宋" w:cs="Times New Roman"/>
                <w:color w:val="auto"/>
                <w:sz w:val="21"/>
                <w:szCs w:val="21"/>
                <w:highlight w:val="none"/>
                <w:lang w:val="en-US" w:eastAsia="zh-CN"/>
              </w:rPr>
              <w:t>]×100%。</w:t>
            </w:r>
          </w:p>
          <w:p w14:paraId="0ADB2D0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Times New Roman" w:hAnsi="Times New Roman" w:eastAsia="仿宋" w:cs="Times New Roman"/>
                <w:color w:val="auto"/>
                <w:kern w:val="2"/>
                <w:sz w:val="21"/>
                <w:szCs w:val="21"/>
                <w:highlight w:val="none"/>
                <w:lang w:val="en-US" w:eastAsia="zh-CN" w:bidi="ar-SA"/>
              </w:rPr>
            </w:pPr>
            <w:r>
              <w:rPr>
                <w:rFonts w:hint="default" w:ascii="Times New Roman" w:hAnsi="Times New Roman" w:eastAsia="仿宋" w:cs="Times New Roman"/>
                <w:color w:val="auto"/>
                <w:sz w:val="21"/>
                <w:szCs w:val="21"/>
                <w:highlight w:val="none"/>
                <w:lang w:val="en-US" w:eastAsia="zh-CN"/>
              </w:rPr>
              <w:t>①a≥0，得</w:t>
            </w:r>
            <w:r>
              <w:rPr>
                <w:rFonts w:hint="eastAsia" w:eastAsia="仿宋" w:cs="Times New Roman"/>
                <w:color w:val="auto"/>
                <w:sz w:val="21"/>
                <w:szCs w:val="21"/>
                <w:highlight w:val="none"/>
                <w:lang w:val="en-US" w:eastAsia="zh-CN"/>
              </w:rPr>
              <w:t>3</w:t>
            </w:r>
            <w:r>
              <w:rPr>
                <w:rFonts w:hint="default" w:ascii="Times New Roman" w:hAnsi="Times New Roman" w:eastAsia="仿宋" w:cs="Times New Roman"/>
                <w:color w:val="auto"/>
                <w:sz w:val="21"/>
                <w:szCs w:val="21"/>
                <w:highlight w:val="none"/>
                <w:lang w:val="en-US" w:eastAsia="zh-CN"/>
              </w:rPr>
              <w:t>.0分；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②a＜0，</w:t>
            </w:r>
            <w:r>
              <w:rPr>
                <w:rFonts w:hint="eastAsia" w:ascii="Times New Roman" w:hAnsi="Times New Roman" w:eastAsia="仿宋" w:cs="Times New Roman"/>
                <w:color w:val="auto"/>
                <w:sz w:val="21"/>
                <w:szCs w:val="21"/>
                <w:highlight w:val="none"/>
                <w:lang w:val="en-US" w:eastAsia="zh-CN"/>
              </w:rPr>
              <w:t>按比例扣减分值</w:t>
            </w:r>
            <w:r>
              <w:rPr>
                <w:rFonts w:hint="default" w:ascii="Times New Roman" w:hAnsi="Times New Roman" w:eastAsia="仿宋" w:cs="Times New Roman"/>
                <w:color w:val="auto"/>
                <w:sz w:val="21"/>
                <w:szCs w:val="21"/>
                <w:highlight w:val="none"/>
                <w:lang w:val="en-US" w:eastAsia="zh-CN"/>
              </w:rPr>
              <w:t>。</w:t>
            </w:r>
          </w:p>
        </w:tc>
      </w:tr>
      <w:tr w14:paraId="5E1E8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411FB7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6B15FB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4C5ABC8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案件受理办理率（2分）</w:t>
            </w:r>
          </w:p>
        </w:tc>
        <w:tc>
          <w:tcPr>
            <w:tcW w:w="3690" w:type="dxa"/>
            <w:shd w:val="clear" w:color="000000" w:fill="FFFFFF"/>
            <w:vAlign w:val="center"/>
          </w:tcPr>
          <w:p w14:paraId="327CD80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案件受理办理率，考核案件受理办理率是否达到目标值，考核案件受理办理率的完成情况。</w:t>
            </w:r>
          </w:p>
        </w:tc>
        <w:tc>
          <w:tcPr>
            <w:tcW w:w="6169" w:type="dxa"/>
            <w:shd w:val="clear" w:color="000000" w:fill="FFFFFF"/>
            <w:vAlign w:val="center"/>
          </w:tcPr>
          <w:p w14:paraId="2F09E6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案件受理办理率</w:t>
            </w:r>
            <w:r>
              <w:rPr>
                <w:rFonts w:hint="eastAsia" w:ascii="Times New Roman" w:hAnsi="Times New Roman" w:eastAsia="仿宋" w:cs="Times New Roman"/>
                <w:color w:val="auto"/>
                <w:sz w:val="21"/>
                <w:szCs w:val="21"/>
                <w:highlight w:val="none"/>
                <w:lang w:val="en-US" w:eastAsia="zh-CN"/>
              </w:rPr>
              <w:t>（a）=</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已受理办理案件数</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需办理受理案件总数</w:t>
            </w:r>
            <w:r>
              <w:rPr>
                <w:rFonts w:hint="default" w:ascii="Times New Roman" w:hAnsi="Times New Roman" w:eastAsia="仿宋" w:cs="Times New Roman"/>
                <w:color w:val="auto"/>
                <w:sz w:val="21"/>
                <w:szCs w:val="21"/>
                <w:highlight w:val="none"/>
                <w:lang w:val="en-US" w:eastAsia="zh-CN"/>
              </w:rPr>
              <w:t>]×100%。</w:t>
            </w:r>
          </w:p>
          <w:p w14:paraId="5EA351F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①a≥0，得</w:t>
            </w:r>
            <w:r>
              <w:rPr>
                <w:rFonts w:hint="eastAsia" w:eastAsia="仿宋" w:cs="Times New Roman"/>
                <w:color w:val="auto"/>
                <w:sz w:val="21"/>
                <w:szCs w:val="21"/>
                <w:highlight w:val="none"/>
                <w:lang w:val="en-US" w:eastAsia="zh-CN"/>
              </w:rPr>
              <w:t>2</w:t>
            </w:r>
            <w:r>
              <w:rPr>
                <w:rFonts w:hint="default" w:ascii="Times New Roman" w:hAnsi="Times New Roman" w:eastAsia="仿宋" w:cs="Times New Roman"/>
                <w:color w:val="auto"/>
                <w:sz w:val="21"/>
                <w:szCs w:val="21"/>
                <w:highlight w:val="none"/>
                <w:lang w:val="en-US" w:eastAsia="zh-CN"/>
              </w:rPr>
              <w:t>.0分；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②a＜0，</w:t>
            </w:r>
            <w:r>
              <w:rPr>
                <w:rFonts w:hint="eastAsia" w:ascii="Times New Roman" w:hAnsi="Times New Roman" w:eastAsia="仿宋" w:cs="Times New Roman"/>
                <w:color w:val="auto"/>
                <w:sz w:val="21"/>
                <w:szCs w:val="21"/>
                <w:highlight w:val="none"/>
                <w:lang w:val="en-US" w:eastAsia="zh-CN"/>
              </w:rPr>
              <w:t>按比例扣减分值</w:t>
            </w:r>
            <w:r>
              <w:rPr>
                <w:rFonts w:hint="default" w:ascii="Times New Roman" w:hAnsi="Times New Roman" w:eastAsia="仿宋" w:cs="Times New Roman"/>
                <w:color w:val="auto"/>
                <w:sz w:val="21"/>
                <w:szCs w:val="21"/>
                <w:highlight w:val="none"/>
                <w:lang w:val="en-US" w:eastAsia="zh-CN"/>
              </w:rPr>
              <w:t>。</w:t>
            </w:r>
          </w:p>
        </w:tc>
      </w:tr>
      <w:tr w14:paraId="5ADF2C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3A4E09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3A1727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564812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物业服务验收合格率（2分）</w:t>
            </w:r>
          </w:p>
        </w:tc>
        <w:tc>
          <w:tcPr>
            <w:tcW w:w="3690" w:type="dxa"/>
            <w:shd w:val="clear" w:color="000000" w:fill="FFFFFF"/>
            <w:vAlign w:val="center"/>
          </w:tcPr>
          <w:p w14:paraId="678FF8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考核物业服务工作的质量</w:t>
            </w:r>
          </w:p>
        </w:tc>
        <w:tc>
          <w:tcPr>
            <w:tcW w:w="6169" w:type="dxa"/>
            <w:shd w:val="clear" w:color="000000" w:fill="FFFFFF"/>
            <w:vAlign w:val="center"/>
          </w:tcPr>
          <w:p w14:paraId="2C7A5AC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物业服务验收合格率</w:t>
            </w:r>
            <w:r>
              <w:rPr>
                <w:rFonts w:hint="eastAsia" w:eastAsia="仿宋" w:cs="Times New Roman"/>
                <w:color w:val="auto"/>
                <w:sz w:val="21"/>
                <w:szCs w:val="21"/>
                <w:highlight w:val="none"/>
                <w:lang w:val="en-US" w:eastAsia="zh-CN"/>
              </w:rPr>
              <w:t>达到标准得2.0分，未达到标准按比例扣减分值。</w:t>
            </w:r>
          </w:p>
        </w:tc>
      </w:tr>
      <w:tr w14:paraId="5C645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3F4796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6682EFC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78064D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印刷材料验收合格率（2分）</w:t>
            </w:r>
          </w:p>
        </w:tc>
        <w:tc>
          <w:tcPr>
            <w:tcW w:w="3690" w:type="dxa"/>
            <w:shd w:val="clear" w:color="000000" w:fill="FFFFFF"/>
            <w:vAlign w:val="center"/>
          </w:tcPr>
          <w:p w14:paraId="57E4E4D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考核印刷材料的质量合格率</w:t>
            </w:r>
          </w:p>
        </w:tc>
        <w:tc>
          <w:tcPr>
            <w:tcW w:w="6169" w:type="dxa"/>
            <w:shd w:val="clear" w:color="000000" w:fill="FFFFFF"/>
            <w:vAlign w:val="center"/>
          </w:tcPr>
          <w:p w14:paraId="57DBABC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印刷材料验收合格率</w:t>
            </w:r>
            <w:r>
              <w:rPr>
                <w:rFonts w:hint="eastAsia" w:ascii="Times New Roman" w:hAnsi="Times New Roman" w:eastAsia="仿宋" w:cs="Times New Roman"/>
                <w:color w:val="auto"/>
                <w:sz w:val="21"/>
                <w:szCs w:val="21"/>
                <w:highlight w:val="none"/>
                <w:lang w:val="en-US" w:eastAsia="zh-CN"/>
              </w:rPr>
              <w:t>（a）=</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印刷材料合格数</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印刷材料总数</w:t>
            </w:r>
            <w:r>
              <w:rPr>
                <w:rFonts w:hint="default" w:ascii="Times New Roman" w:hAnsi="Times New Roman" w:eastAsia="仿宋" w:cs="Times New Roman"/>
                <w:color w:val="auto"/>
                <w:sz w:val="21"/>
                <w:szCs w:val="21"/>
                <w:highlight w:val="none"/>
                <w:lang w:val="en-US" w:eastAsia="zh-CN"/>
              </w:rPr>
              <w:t>]×100%。</w:t>
            </w:r>
          </w:p>
          <w:p w14:paraId="298480E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①a≥0，得</w:t>
            </w:r>
            <w:r>
              <w:rPr>
                <w:rFonts w:hint="eastAsia" w:eastAsia="仿宋" w:cs="Times New Roman"/>
                <w:color w:val="auto"/>
                <w:sz w:val="21"/>
                <w:szCs w:val="21"/>
                <w:highlight w:val="none"/>
                <w:lang w:val="en-US" w:eastAsia="zh-CN"/>
              </w:rPr>
              <w:t>2</w:t>
            </w:r>
            <w:r>
              <w:rPr>
                <w:rFonts w:hint="default" w:ascii="Times New Roman" w:hAnsi="Times New Roman" w:eastAsia="仿宋" w:cs="Times New Roman"/>
                <w:color w:val="auto"/>
                <w:sz w:val="21"/>
                <w:szCs w:val="21"/>
                <w:highlight w:val="none"/>
                <w:lang w:val="en-US" w:eastAsia="zh-CN"/>
              </w:rPr>
              <w:t>.0分；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②a＜0，</w:t>
            </w:r>
            <w:r>
              <w:rPr>
                <w:rFonts w:hint="eastAsia" w:ascii="Times New Roman" w:hAnsi="Times New Roman" w:eastAsia="仿宋" w:cs="Times New Roman"/>
                <w:color w:val="auto"/>
                <w:sz w:val="21"/>
                <w:szCs w:val="21"/>
                <w:highlight w:val="none"/>
                <w:lang w:val="en-US" w:eastAsia="zh-CN"/>
              </w:rPr>
              <w:t>按比例扣减分值</w:t>
            </w:r>
            <w:r>
              <w:rPr>
                <w:rFonts w:hint="default" w:ascii="Times New Roman" w:hAnsi="Times New Roman" w:eastAsia="仿宋" w:cs="Times New Roman"/>
                <w:color w:val="auto"/>
                <w:sz w:val="21"/>
                <w:szCs w:val="21"/>
                <w:highlight w:val="none"/>
                <w:lang w:val="en-US" w:eastAsia="zh-CN"/>
              </w:rPr>
              <w:t>。</w:t>
            </w:r>
          </w:p>
        </w:tc>
      </w:tr>
      <w:tr w14:paraId="11F802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68F92C4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restart"/>
            <w:vAlign w:val="center"/>
          </w:tcPr>
          <w:p w14:paraId="0F63A5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718668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时效</w:t>
            </w:r>
          </w:p>
          <w:p w14:paraId="1FF69B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7</w:t>
            </w:r>
            <w:r>
              <w:rPr>
                <w:rFonts w:hint="default" w:ascii="Times New Roman" w:hAnsi="Times New Roman" w:eastAsia="仿宋" w:cs="Times New Roman"/>
                <w:color w:val="auto"/>
                <w:sz w:val="21"/>
                <w:szCs w:val="21"/>
                <w:highlight w:val="none"/>
                <w:lang w:val="en-US" w:eastAsia="zh-CN"/>
              </w:rPr>
              <w:t>分）</w:t>
            </w:r>
          </w:p>
        </w:tc>
        <w:tc>
          <w:tcPr>
            <w:tcW w:w="1695" w:type="dxa"/>
            <w:shd w:val="clear" w:color="000000" w:fill="FFFFFF"/>
            <w:vAlign w:val="center"/>
          </w:tcPr>
          <w:p w14:paraId="2295D4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法定时限内结案率（2分）</w:t>
            </w:r>
          </w:p>
        </w:tc>
        <w:tc>
          <w:tcPr>
            <w:tcW w:w="3690" w:type="dxa"/>
            <w:shd w:val="clear" w:color="000000" w:fill="FFFFFF"/>
            <w:vAlign w:val="center"/>
          </w:tcPr>
          <w:p w14:paraId="4A2F72F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考核在法定时限内结案情况</w:t>
            </w:r>
            <w:r>
              <w:rPr>
                <w:rFonts w:hint="default" w:ascii="Times New Roman" w:hAnsi="Times New Roman" w:eastAsia="仿宋" w:cs="Times New Roman"/>
                <w:color w:val="auto"/>
                <w:sz w:val="21"/>
                <w:szCs w:val="21"/>
                <w:highlight w:val="none"/>
                <w:lang w:val="en-US" w:eastAsia="zh-CN"/>
              </w:rPr>
              <w:t>。</w:t>
            </w:r>
          </w:p>
        </w:tc>
        <w:tc>
          <w:tcPr>
            <w:tcW w:w="6169" w:type="dxa"/>
            <w:shd w:val="clear" w:color="000000" w:fill="FFFFFF"/>
            <w:vAlign w:val="center"/>
          </w:tcPr>
          <w:p w14:paraId="35CD419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在法定时限内结案率达到目标值得2.0分，未达到目标值按比例扣减分值。</w:t>
            </w:r>
          </w:p>
        </w:tc>
      </w:tr>
      <w:tr w14:paraId="7F1DC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16A801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1398BF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602FFB9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批捕案件办理时效（2分）</w:t>
            </w:r>
          </w:p>
        </w:tc>
        <w:tc>
          <w:tcPr>
            <w:tcW w:w="3690" w:type="dxa"/>
            <w:shd w:val="clear" w:color="000000" w:fill="FFFFFF"/>
            <w:vAlign w:val="center"/>
          </w:tcPr>
          <w:p w14:paraId="752958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kern w:val="2"/>
                <w:sz w:val="21"/>
                <w:szCs w:val="21"/>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考核批捕案件办理的及时率。</w:t>
            </w:r>
          </w:p>
        </w:tc>
        <w:tc>
          <w:tcPr>
            <w:tcW w:w="6169" w:type="dxa"/>
            <w:shd w:val="clear" w:color="000000" w:fill="FFFFFF"/>
            <w:vAlign w:val="center"/>
          </w:tcPr>
          <w:p w14:paraId="266E27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考核批捕案件办理时效达到目标值得2.0分，未达到目标值按比例扣减分值。</w:t>
            </w:r>
          </w:p>
        </w:tc>
      </w:tr>
      <w:tr w14:paraId="6B7EF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60A721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75B8B6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6D304E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物业保障时长</w:t>
            </w:r>
          </w:p>
          <w:p w14:paraId="2DB163F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（2分）</w:t>
            </w:r>
          </w:p>
        </w:tc>
        <w:tc>
          <w:tcPr>
            <w:tcW w:w="3690" w:type="dxa"/>
            <w:shd w:val="clear" w:color="000000" w:fill="FFFFFF"/>
            <w:vAlign w:val="center"/>
          </w:tcPr>
          <w:p w14:paraId="5D6047F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考核物业服务时长是否达到目标值。</w:t>
            </w:r>
          </w:p>
        </w:tc>
        <w:tc>
          <w:tcPr>
            <w:tcW w:w="6169" w:type="dxa"/>
            <w:shd w:val="clear" w:color="000000" w:fill="FFFFFF"/>
            <w:vAlign w:val="center"/>
          </w:tcPr>
          <w:p w14:paraId="3D7E92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auto"/>
                <w:kern w:val="2"/>
                <w:sz w:val="21"/>
                <w:szCs w:val="21"/>
                <w:lang w:val="en-US" w:eastAsia="zh-CN" w:bidi="ar-SA"/>
              </w:rPr>
              <w:t>物业服务时长达到目标值</w:t>
            </w:r>
            <w:r>
              <w:rPr>
                <w:rFonts w:hint="eastAsia" w:ascii="仿宋" w:hAnsi="仿宋" w:eastAsia="仿宋" w:cs="仿宋"/>
                <w:color w:val="000000" w:themeColor="text1"/>
                <w:kern w:val="0"/>
                <w:sz w:val="21"/>
                <w:szCs w:val="21"/>
                <w:lang w:val="en-US" w:eastAsia="zh-CN" w:bidi="ar"/>
                <w14:textFill>
                  <w14:solidFill>
                    <w14:schemeClr w14:val="tx1"/>
                  </w14:solidFill>
                </w14:textFill>
              </w:rPr>
              <w:t>得2.0分，未达到目标值按比例扣减分值。</w:t>
            </w:r>
          </w:p>
        </w:tc>
      </w:tr>
      <w:tr w14:paraId="1F1C0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6A71C9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02B54F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5EEA20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维修响应时间</w:t>
            </w:r>
          </w:p>
          <w:p w14:paraId="698D877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（1分）</w:t>
            </w:r>
          </w:p>
        </w:tc>
        <w:tc>
          <w:tcPr>
            <w:tcW w:w="3690" w:type="dxa"/>
            <w:shd w:val="clear" w:color="000000" w:fill="FFFFFF"/>
            <w:vAlign w:val="center"/>
          </w:tcPr>
          <w:p w14:paraId="447C156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考核维修响应时间是否在目标值以内。</w:t>
            </w:r>
          </w:p>
        </w:tc>
        <w:tc>
          <w:tcPr>
            <w:tcW w:w="6169" w:type="dxa"/>
            <w:shd w:val="clear" w:color="000000" w:fill="FFFFFF"/>
            <w:vAlign w:val="center"/>
          </w:tcPr>
          <w:p w14:paraId="7AEB21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维修响应时间达到目标值得2.0分，未达到目标值按比例扣减分值。</w:t>
            </w:r>
          </w:p>
        </w:tc>
      </w:tr>
      <w:tr w14:paraId="15817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1C201E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restart"/>
            <w:vAlign w:val="center"/>
          </w:tcPr>
          <w:p w14:paraId="7CBA2F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1D3C97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成本</w:t>
            </w:r>
          </w:p>
          <w:p w14:paraId="396040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5</w:t>
            </w:r>
            <w:r>
              <w:rPr>
                <w:rFonts w:hint="default" w:ascii="Times New Roman" w:hAnsi="Times New Roman" w:eastAsia="仿宋" w:cs="Times New Roman"/>
                <w:color w:val="auto"/>
                <w:sz w:val="21"/>
                <w:szCs w:val="21"/>
                <w:highlight w:val="none"/>
                <w:lang w:val="en-US" w:eastAsia="zh-CN"/>
              </w:rPr>
              <w:t>分）</w:t>
            </w:r>
          </w:p>
        </w:tc>
        <w:tc>
          <w:tcPr>
            <w:tcW w:w="1695" w:type="dxa"/>
            <w:shd w:val="clear" w:color="000000" w:fill="FFFFFF"/>
            <w:vAlign w:val="center"/>
          </w:tcPr>
          <w:p w14:paraId="3DF481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公开听证成本</w:t>
            </w:r>
          </w:p>
          <w:p w14:paraId="4D7E41D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（1分）</w:t>
            </w:r>
          </w:p>
        </w:tc>
        <w:tc>
          <w:tcPr>
            <w:tcW w:w="3690" w:type="dxa"/>
            <w:shd w:val="clear" w:color="000000" w:fill="FFFFFF"/>
            <w:vAlign w:val="center"/>
          </w:tcPr>
          <w:p w14:paraId="2A6AAA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考核公开听证的资金支出情况。</w:t>
            </w:r>
          </w:p>
        </w:tc>
        <w:tc>
          <w:tcPr>
            <w:tcW w:w="6169" w:type="dxa"/>
            <w:shd w:val="clear" w:color="000000" w:fill="FFFFFF"/>
            <w:vAlign w:val="center"/>
          </w:tcPr>
          <w:p w14:paraId="2E25CC6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公开听证成本达到目标值得1.0分，未达到目标值得0.0分。</w:t>
            </w:r>
          </w:p>
        </w:tc>
      </w:tr>
      <w:tr w14:paraId="0DB61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07CDAA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3485F2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4640D36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物业服务成本</w:t>
            </w:r>
          </w:p>
          <w:p w14:paraId="60BC4E3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（1分）</w:t>
            </w:r>
          </w:p>
        </w:tc>
        <w:tc>
          <w:tcPr>
            <w:tcW w:w="3690" w:type="dxa"/>
            <w:shd w:val="clear" w:color="000000" w:fill="FFFFFF"/>
            <w:vAlign w:val="center"/>
          </w:tcPr>
          <w:p w14:paraId="0E80EE7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考核物业服务的资金使用情况。</w:t>
            </w:r>
          </w:p>
        </w:tc>
        <w:tc>
          <w:tcPr>
            <w:tcW w:w="6169" w:type="dxa"/>
            <w:shd w:val="clear" w:color="000000" w:fill="FFFFFF"/>
            <w:vAlign w:val="center"/>
          </w:tcPr>
          <w:p w14:paraId="1C0A9AD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物业服务成本</w:t>
            </w:r>
            <w:r>
              <w:rPr>
                <w:rFonts w:hint="eastAsia" w:eastAsia="仿宋" w:cs="Times New Roman"/>
                <w:color w:val="auto"/>
                <w:sz w:val="21"/>
                <w:szCs w:val="21"/>
                <w:highlight w:val="none"/>
                <w:lang w:val="en-US" w:eastAsia="zh-CN"/>
              </w:rPr>
              <w:t>达到目标值得1.0分，未达到目标值得0.0分。</w:t>
            </w:r>
          </w:p>
        </w:tc>
      </w:tr>
      <w:tr w14:paraId="0D9B0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7DFC8E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14CE67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2E8D69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差旅费（1分）</w:t>
            </w:r>
          </w:p>
        </w:tc>
        <w:tc>
          <w:tcPr>
            <w:tcW w:w="3690" w:type="dxa"/>
            <w:shd w:val="clear" w:color="000000" w:fill="FFFFFF"/>
            <w:vAlign w:val="center"/>
          </w:tcPr>
          <w:p w14:paraId="0A0E2EC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考核差旅费的资金使用情况</w:t>
            </w:r>
          </w:p>
        </w:tc>
        <w:tc>
          <w:tcPr>
            <w:tcW w:w="6169" w:type="dxa"/>
            <w:shd w:val="clear" w:color="000000" w:fill="FFFFFF"/>
            <w:vAlign w:val="center"/>
          </w:tcPr>
          <w:p w14:paraId="504D363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差旅费</w:t>
            </w:r>
            <w:r>
              <w:rPr>
                <w:rFonts w:hint="eastAsia" w:eastAsia="仿宋" w:cs="Times New Roman"/>
                <w:color w:val="auto"/>
                <w:sz w:val="21"/>
                <w:szCs w:val="21"/>
                <w:highlight w:val="none"/>
                <w:lang w:val="en-US" w:eastAsia="zh-CN"/>
              </w:rPr>
              <w:t>达到目标值得1.0分，未达到目标值得0.0分。</w:t>
            </w:r>
          </w:p>
        </w:tc>
      </w:tr>
      <w:tr w14:paraId="1CB00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0893A3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5E0A7D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159260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项目总支出成本（1分）</w:t>
            </w:r>
          </w:p>
        </w:tc>
        <w:tc>
          <w:tcPr>
            <w:tcW w:w="3690" w:type="dxa"/>
            <w:shd w:val="clear" w:color="000000" w:fill="FFFFFF"/>
            <w:vAlign w:val="center"/>
          </w:tcPr>
          <w:p w14:paraId="2A22BB3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考核项目总成本的资金使用情况</w:t>
            </w:r>
          </w:p>
        </w:tc>
        <w:tc>
          <w:tcPr>
            <w:tcW w:w="6169" w:type="dxa"/>
            <w:shd w:val="clear" w:color="000000" w:fill="FFFFFF"/>
            <w:vAlign w:val="center"/>
          </w:tcPr>
          <w:p w14:paraId="14BC6BC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kern w:val="2"/>
                <w:sz w:val="21"/>
                <w:szCs w:val="21"/>
                <w:highlight w:val="none"/>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项目总支出成本</w:t>
            </w:r>
            <w:r>
              <w:rPr>
                <w:rFonts w:hint="eastAsia" w:eastAsia="仿宋" w:cs="Times New Roman"/>
                <w:color w:val="auto"/>
                <w:sz w:val="21"/>
                <w:szCs w:val="21"/>
                <w:highlight w:val="none"/>
                <w:lang w:val="en-US" w:eastAsia="zh-CN"/>
              </w:rPr>
              <w:t>达到目标值得1.0分，未达到目标值得0.0分。</w:t>
            </w:r>
          </w:p>
        </w:tc>
      </w:tr>
      <w:tr w14:paraId="5B1B8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0B8065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00ACD3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495DCD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印刷成本</w:t>
            </w:r>
          </w:p>
          <w:p w14:paraId="2464BB9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（0.5分）</w:t>
            </w:r>
          </w:p>
        </w:tc>
        <w:tc>
          <w:tcPr>
            <w:tcW w:w="3690" w:type="dxa"/>
            <w:shd w:val="clear" w:color="000000" w:fill="FFFFFF"/>
            <w:vAlign w:val="center"/>
          </w:tcPr>
          <w:p w14:paraId="5E1A4D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考核项目印刷资金支出情况。</w:t>
            </w:r>
          </w:p>
        </w:tc>
        <w:tc>
          <w:tcPr>
            <w:tcW w:w="6169" w:type="dxa"/>
            <w:shd w:val="clear" w:color="000000" w:fill="FFFFFF"/>
            <w:vAlign w:val="center"/>
          </w:tcPr>
          <w:p w14:paraId="3942946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印刷成本</w:t>
            </w:r>
            <w:r>
              <w:rPr>
                <w:rFonts w:hint="eastAsia" w:eastAsia="仿宋" w:cs="Times New Roman"/>
                <w:color w:val="auto"/>
                <w:sz w:val="21"/>
                <w:szCs w:val="21"/>
                <w:highlight w:val="none"/>
                <w:lang w:val="en-US" w:eastAsia="zh-CN"/>
              </w:rPr>
              <w:t>达到目标值得0.5分，未达到目标值得0.0分。</w:t>
            </w:r>
          </w:p>
        </w:tc>
      </w:tr>
      <w:tr w14:paraId="5A397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058294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208" w:type="dxa"/>
            <w:vMerge w:val="continue"/>
            <w:vAlign w:val="center"/>
          </w:tcPr>
          <w:p w14:paraId="25B067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695" w:type="dxa"/>
            <w:shd w:val="clear" w:color="000000" w:fill="FFFFFF"/>
            <w:vAlign w:val="center"/>
          </w:tcPr>
          <w:p w14:paraId="1C70A96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采购设备成本（0.5分）</w:t>
            </w:r>
          </w:p>
        </w:tc>
        <w:tc>
          <w:tcPr>
            <w:tcW w:w="3690" w:type="dxa"/>
            <w:shd w:val="clear" w:color="000000" w:fill="FFFFFF"/>
            <w:vAlign w:val="center"/>
          </w:tcPr>
          <w:p w14:paraId="43A18F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考核项目采购设备资金支出情况</w:t>
            </w:r>
            <w:r>
              <w:rPr>
                <w:rFonts w:hint="default" w:ascii="Times New Roman" w:hAnsi="Times New Roman" w:eastAsia="仿宋" w:cs="Times New Roman"/>
                <w:color w:val="auto"/>
                <w:sz w:val="21"/>
                <w:szCs w:val="21"/>
                <w:highlight w:val="none"/>
                <w:lang w:val="en-US" w:eastAsia="zh-CN"/>
              </w:rPr>
              <w:t>。</w:t>
            </w:r>
          </w:p>
        </w:tc>
        <w:tc>
          <w:tcPr>
            <w:tcW w:w="6169" w:type="dxa"/>
            <w:shd w:val="clear" w:color="000000" w:fill="FFFFFF"/>
            <w:vAlign w:val="center"/>
          </w:tcPr>
          <w:p w14:paraId="0D7553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采购设备成本</w:t>
            </w:r>
            <w:r>
              <w:rPr>
                <w:rFonts w:hint="eastAsia" w:eastAsia="仿宋" w:cs="Times New Roman"/>
                <w:color w:val="auto"/>
                <w:sz w:val="21"/>
                <w:szCs w:val="21"/>
                <w:highlight w:val="none"/>
                <w:lang w:val="en-US" w:eastAsia="zh-CN"/>
              </w:rPr>
              <w:t>达到目标值得0.5分，未达到目标值得0.0分。</w:t>
            </w:r>
          </w:p>
        </w:tc>
      </w:tr>
      <w:tr w14:paraId="09992A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restart"/>
            <w:vAlign w:val="center"/>
          </w:tcPr>
          <w:p w14:paraId="030557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eastAsia" w:eastAsia="仿宋" w:cs="Times New Roman"/>
                <w:color w:val="auto"/>
                <w:sz w:val="21"/>
                <w:szCs w:val="21"/>
                <w:highlight w:val="none"/>
                <w:lang w:val="en-US" w:eastAsia="zh-CN"/>
              </w:rPr>
              <w:t>效益</w:t>
            </w:r>
            <w:r>
              <w:rPr>
                <w:rFonts w:hint="default" w:ascii="Times New Roman" w:hAnsi="Times New Roman" w:eastAsia="仿宋" w:cs="Times New Roman"/>
                <w:color w:val="auto"/>
                <w:sz w:val="21"/>
                <w:szCs w:val="21"/>
                <w:highlight w:val="none"/>
                <w:lang w:val="en-US" w:eastAsia="zh-CN"/>
              </w:rPr>
              <w:t>（30分）</w:t>
            </w:r>
          </w:p>
        </w:tc>
        <w:tc>
          <w:tcPr>
            <w:tcW w:w="1208" w:type="dxa"/>
            <w:vMerge w:val="restart"/>
            <w:vAlign w:val="center"/>
          </w:tcPr>
          <w:p w14:paraId="5E8B0A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社会效益（</w:t>
            </w:r>
            <w:r>
              <w:rPr>
                <w:rFonts w:hint="eastAsia" w:eastAsia="仿宋" w:cs="Times New Roman"/>
                <w:color w:val="auto"/>
                <w:sz w:val="21"/>
                <w:szCs w:val="21"/>
                <w:highlight w:val="none"/>
                <w:lang w:val="en-US" w:eastAsia="zh-CN"/>
              </w:rPr>
              <w:t>10</w:t>
            </w:r>
            <w:r>
              <w:rPr>
                <w:rFonts w:hint="default" w:ascii="Times New Roman" w:hAnsi="Times New Roman" w:eastAsia="仿宋" w:cs="Times New Roman"/>
                <w:color w:val="auto"/>
                <w:sz w:val="21"/>
                <w:szCs w:val="21"/>
                <w:highlight w:val="none"/>
                <w:lang w:val="en-US" w:eastAsia="zh-CN"/>
              </w:rPr>
              <w:t>分）</w:t>
            </w:r>
          </w:p>
        </w:tc>
        <w:tc>
          <w:tcPr>
            <w:tcW w:w="1695" w:type="dxa"/>
            <w:shd w:val="clear" w:color="000000" w:fill="FFFFFF"/>
            <w:vAlign w:val="center"/>
          </w:tcPr>
          <w:p w14:paraId="1F3D1C3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办案人员能力</w:t>
            </w:r>
          </w:p>
          <w:p w14:paraId="6AFEAB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（5分）</w:t>
            </w:r>
          </w:p>
        </w:tc>
        <w:tc>
          <w:tcPr>
            <w:tcW w:w="3690" w:type="dxa"/>
            <w:shd w:val="clear" w:color="000000" w:fill="FFFFFF"/>
            <w:vAlign w:val="center"/>
          </w:tcPr>
          <w:p w14:paraId="6992094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通过项目实施，</w:t>
            </w:r>
            <w:r>
              <w:rPr>
                <w:rFonts w:hint="eastAsia" w:ascii="Times New Roman" w:hAnsi="Times New Roman" w:eastAsia="仿宋" w:cs="Times New Roman"/>
                <w:color w:val="auto"/>
                <w:sz w:val="21"/>
                <w:szCs w:val="21"/>
                <w:highlight w:val="none"/>
                <w:lang w:val="en-US" w:eastAsia="zh-CN"/>
              </w:rPr>
              <w:t>提高</w:t>
            </w:r>
            <w:r>
              <w:rPr>
                <w:rFonts w:hint="eastAsia" w:ascii="仿宋" w:hAnsi="仿宋" w:eastAsia="仿宋" w:cs="仿宋"/>
                <w:color w:val="000000" w:themeColor="text1"/>
                <w:kern w:val="0"/>
                <w:sz w:val="21"/>
                <w:szCs w:val="21"/>
                <w:lang w:val="en-US" w:eastAsia="zh-CN" w:bidi="ar"/>
                <w14:textFill>
                  <w14:solidFill>
                    <w14:schemeClr w14:val="tx1"/>
                  </w14:solidFill>
                </w14:textFill>
              </w:rPr>
              <w:t>办案人员能力</w:t>
            </w:r>
            <w:r>
              <w:rPr>
                <w:rFonts w:hint="default" w:ascii="Times New Roman" w:hAnsi="Times New Roman" w:eastAsia="仿宋" w:cs="Times New Roman"/>
                <w:color w:val="auto"/>
                <w:sz w:val="21"/>
                <w:szCs w:val="21"/>
                <w:highlight w:val="none"/>
                <w:lang w:val="en-US" w:eastAsia="zh-CN"/>
              </w:rPr>
              <w:t>，用以反映和考核项目对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办案人员能力</w:t>
            </w:r>
            <w:r>
              <w:rPr>
                <w:rFonts w:hint="default" w:ascii="Times New Roman" w:hAnsi="Times New Roman" w:eastAsia="仿宋" w:cs="Times New Roman"/>
                <w:color w:val="auto"/>
                <w:sz w:val="21"/>
                <w:szCs w:val="21"/>
                <w:highlight w:val="none"/>
                <w:lang w:val="en-US" w:eastAsia="zh-CN"/>
              </w:rPr>
              <w:t>的</w:t>
            </w:r>
            <w:r>
              <w:rPr>
                <w:rFonts w:hint="eastAsia" w:ascii="Times New Roman" w:hAnsi="Times New Roman" w:eastAsia="仿宋" w:cs="Times New Roman"/>
                <w:color w:val="auto"/>
                <w:sz w:val="21"/>
                <w:szCs w:val="21"/>
                <w:highlight w:val="none"/>
                <w:lang w:val="en-US" w:eastAsia="zh-CN"/>
              </w:rPr>
              <w:t>提升</w:t>
            </w:r>
            <w:r>
              <w:rPr>
                <w:rFonts w:hint="default" w:ascii="Times New Roman" w:hAnsi="Times New Roman" w:eastAsia="仿宋" w:cs="Times New Roman"/>
                <w:color w:val="auto"/>
                <w:sz w:val="21"/>
                <w:szCs w:val="21"/>
                <w:highlight w:val="none"/>
                <w:lang w:val="en-US" w:eastAsia="zh-CN"/>
              </w:rPr>
              <w:t>程度</w:t>
            </w:r>
          </w:p>
        </w:tc>
        <w:tc>
          <w:tcPr>
            <w:tcW w:w="6169" w:type="dxa"/>
            <w:shd w:val="clear" w:color="000000" w:fill="FFFFFF"/>
            <w:vAlign w:val="center"/>
          </w:tcPr>
          <w:p w14:paraId="3B18FD7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根据</w:t>
            </w:r>
            <w:r>
              <w:rPr>
                <w:rFonts w:hint="default" w:ascii="Times New Roman" w:hAnsi="Times New Roman" w:eastAsia="仿宋" w:cs="Times New Roman"/>
                <w:color w:val="auto"/>
                <w:sz w:val="21"/>
                <w:szCs w:val="21"/>
                <w:highlight w:val="none"/>
                <w:lang w:val="en-US" w:eastAsia="zh-CN"/>
              </w:rPr>
              <w:t>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办案人员能力</w:t>
            </w:r>
            <w:r>
              <w:rPr>
                <w:rFonts w:hint="default" w:ascii="Times New Roman" w:hAnsi="Times New Roman" w:eastAsia="仿宋" w:cs="Times New Roman"/>
                <w:color w:val="auto"/>
                <w:sz w:val="21"/>
                <w:szCs w:val="21"/>
                <w:highlight w:val="none"/>
                <w:lang w:val="en-US" w:eastAsia="zh-CN"/>
              </w:rPr>
              <w:t>的</w:t>
            </w:r>
            <w:r>
              <w:rPr>
                <w:rFonts w:hint="eastAsia" w:eastAsia="仿宋" w:cs="Times New Roman"/>
                <w:color w:val="auto"/>
                <w:sz w:val="21"/>
                <w:szCs w:val="21"/>
                <w:highlight w:val="none"/>
                <w:lang w:val="en-US" w:eastAsia="zh-CN"/>
              </w:rPr>
              <w:t>提高</w:t>
            </w:r>
            <w:r>
              <w:rPr>
                <w:rFonts w:hint="default" w:ascii="Times New Roman" w:hAnsi="Times New Roman" w:eastAsia="仿宋" w:cs="Times New Roman"/>
                <w:color w:val="auto"/>
                <w:sz w:val="21"/>
                <w:szCs w:val="21"/>
                <w:highlight w:val="none"/>
                <w:lang w:val="en-US" w:eastAsia="zh-CN"/>
              </w:rPr>
              <w:t>程度权衡评分（0～</w:t>
            </w:r>
            <w:r>
              <w:rPr>
                <w:rFonts w:hint="eastAsia" w:eastAsia="仿宋" w:cs="Times New Roman"/>
                <w:color w:val="auto"/>
                <w:sz w:val="21"/>
                <w:szCs w:val="21"/>
                <w:highlight w:val="none"/>
                <w:lang w:val="en-US" w:eastAsia="zh-CN"/>
              </w:rPr>
              <w:t>5</w:t>
            </w:r>
            <w:r>
              <w:rPr>
                <w:rFonts w:hint="default" w:ascii="Times New Roman" w:hAnsi="Times New Roman" w:eastAsia="仿宋" w:cs="Times New Roman"/>
                <w:color w:val="auto"/>
                <w:sz w:val="21"/>
                <w:szCs w:val="21"/>
                <w:highlight w:val="none"/>
                <w:lang w:val="en-US" w:eastAsia="zh-CN"/>
              </w:rPr>
              <w:t>.0分）。</w:t>
            </w:r>
          </w:p>
        </w:tc>
      </w:tr>
      <w:tr w14:paraId="5A249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53" w:type="dxa"/>
            <w:vMerge w:val="continue"/>
            <w:vAlign w:val="center"/>
          </w:tcPr>
          <w:p w14:paraId="67C225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208" w:type="dxa"/>
            <w:vMerge w:val="continue"/>
            <w:vAlign w:val="center"/>
          </w:tcPr>
          <w:p w14:paraId="070FE9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695" w:type="dxa"/>
            <w:shd w:val="clear" w:color="000000" w:fill="FFFFFF"/>
            <w:vAlign w:val="center"/>
          </w:tcPr>
          <w:p w14:paraId="1A5FDF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提升办案效率</w:t>
            </w:r>
          </w:p>
          <w:p w14:paraId="0082691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（5分）</w:t>
            </w:r>
          </w:p>
        </w:tc>
        <w:tc>
          <w:tcPr>
            <w:tcW w:w="3690" w:type="dxa"/>
            <w:shd w:val="clear" w:color="000000" w:fill="FFFFFF"/>
            <w:vAlign w:val="center"/>
          </w:tcPr>
          <w:p w14:paraId="28038A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lang w:val="en-US" w:eastAsia="zh-CN"/>
              </w:rPr>
              <w:t>通过项目实施，</w:t>
            </w:r>
            <w:r>
              <w:rPr>
                <w:rFonts w:hint="eastAsia" w:ascii="仿宋" w:hAnsi="仿宋" w:eastAsia="仿宋" w:cs="仿宋"/>
                <w:color w:val="000000" w:themeColor="text1"/>
                <w:kern w:val="0"/>
                <w:sz w:val="21"/>
                <w:szCs w:val="21"/>
                <w:lang w:val="en-US" w:eastAsia="zh-CN" w:bidi="ar"/>
                <w14:textFill>
                  <w14:solidFill>
                    <w14:schemeClr w14:val="tx1"/>
                  </w14:solidFill>
                </w14:textFill>
              </w:rPr>
              <w:t>提升办案效率</w:t>
            </w:r>
            <w:r>
              <w:rPr>
                <w:rFonts w:hint="default" w:ascii="Times New Roman" w:hAnsi="Times New Roman" w:eastAsia="仿宋" w:cs="Times New Roman"/>
                <w:color w:val="auto"/>
                <w:sz w:val="21"/>
                <w:szCs w:val="21"/>
                <w:highlight w:val="none"/>
                <w:lang w:val="en-US" w:eastAsia="zh-CN"/>
              </w:rPr>
              <w:t>，用以反映和考核项目对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提升办案效率</w:t>
            </w:r>
            <w:r>
              <w:rPr>
                <w:rFonts w:hint="eastAsia" w:eastAsia="仿宋" w:cs="Times New Roman"/>
                <w:color w:val="auto"/>
                <w:sz w:val="21"/>
                <w:szCs w:val="21"/>
                <w:highlight w:val="none"/>
                <w:lang w:val="en-US" w:eastAsia="zh-CN"/>
              </w:rPr>
              <w:t>影响</w:t>
            </w:r>
            <w:r>
              <w:rPr>
                <w:rFonts w:hint="default" w:ascii="Times New Roman" w:hAnsi="Times New Roman" w:eastAsia="仿宋" w:cs="Times New Roman"/>
                <w:color w:val="auto"/>
                <w:sz w:val="21"/>
                <w:szCs w:val="21"/>
                <w:highlight w:val="none"/>
                <w:lang w:val="en-US" w:eastAsia="zh-CN"/>
              </w:rPr>
              <w:t>程度</w:t>
            </w:r>
          </w:p>
        </w:tc>
        <w:tc>
          <w:tcPr>
            <w:tcW w:w="6169" w:type="dxa"/>
            <w:shd w:val="clear" w:color="000000" w:fill="FFFFFF"/>
            <w:vAlign w:val="center"/>
          </w:tcPr>
          <w:p w14:paraId="702075C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根据</w:t>
            </w:r>
            <w:r>
              <w:rPr>
                <w:rFonts w:hint="default" w:ascii="Times New Roman" w:hAnsi="Times New Roman" w:eastAsia="仿宋" w:cs="Times New Roman"/>
                <w:color w:val="auto"/>
                <w:sz w:val="21"/>
                <w:szCs w:val="21"/>
                <w:highlight w:val="none"/>
                <w:lang w:val="en-US" w:eastAsia="zh-CN"/>
              </w:rPr>
              <w:t>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提升办案效率</w:t>
            </w:r>
            <w:r>
              <w:rPr>
                <w:rFonts w:hint="default" w:ascii="Times New Roman" w:hAnsi="Times New Roman" w:eastAsia="仿宋" w:cs="Times New Roman"/>
                <w:color w:val="auto"/>
                <w:sz w:val="21"/>
                <w:szCs w:val="21"/>
                <w:highlight w:val="none"/>
                <w:lang w:val="en-US" w:eastAsia="zh-CN"/>
              </w:rPr>
              <w:t>的</w:t>
            </w:r>
            <w:r>
              <w:rPr>
                <w:rFonts w:hint="eastAsia" w:eastAsia="仿宋" w:cs="Times New Roman"/>
                <w:color w:val="auto"/>
                <w:sz w:val="21"/>
                <w:szCs w:val="21"/>
                <w:highlight w:val="none"/>
                <w:lang w:val="en-US" w:eastAsia="zh-CN"/>
              </w:rPr>
              <w:t>提高</w:t>
            </w:r>
            <w:r>
              <w:rPr>
                <w:rFonts w:hint="default" w:ascii="Times New Roman" w:hAnsi="Times New Roman" w:eastAsia="仿宋" w:cs="Times New Roman"/>
                <w:color w:val="auto"/>
                <w:sz w:val="21"/>
                <w:szCs w:val="21"/>
                <w:highlight w:val="none"/>
                <w:lang w:val="en-US" w:eastAsia="zh-CN"/>
              </w:rPr>
              <w:t>程度权衡评分（0～</w:t>
            </w:r>
            <w:r>
              <w:rPr>
                <w:rFonts w:hint="eastAsia" w:eastAsia="仿宋" w:cs="Times New Roman"/>
                <w:color w:val="auto"/>
                <w:sz w:val="21"/>
                <w:szCs w:val="21"/>
                <w:highlight w:val="none"/>
                <w:lang w:val="en-US" w:eastAsia="zh-CN"/>
              </w:rPr>
              <w:t>5</w:t>
            </w:r>
            <w:r>
              <w:rPr>
                <w:rFonts w:hint="default" w:ascii="Times New Roman" w:hAnsi="Times New Roman" w:eastAsia="仿宋" w:cs="Times New Roman"/>
                <w:color w:val="auto"/>
                <w:sz w:val="21"/>
                <w:szCs w:val="21"/>
                <w:highlight w:val="none"/>
                <w:lang w:val="en-US" w:eastAsia="zh-CN"/>
              </w:rPr>
              <w:t>.0分）。</w:t>
            </w:r>
          </w:p>
        </w:tc>
      </w:tr>
      <w:tr w14:paraId="4C36C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1153" w:type="dxa"/>
            <w:vMerge w:val="continue"/>
            <w:vAlign w:val="center"/>
          </w:tcPr>
          <w:p w14:paraId="38557A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208" w:type="dxa"/>
            <w:vAlign w:val="center"/>
          </w:tcPr>
          <w:p w14:paraId="6DF7AF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可持续影响（</w:t>
            </w:r>
            <w:r>
              <w:rPr>
                <w:rFonts w:hint="eastAsia" w:eastAsia="仿宋" w:cs="Times New Roman"/>
                <w:color w:val="auto"/>
                <w:sz w:val="21"/>
                <w:szCs w:val="21"/>
                <w:highlight w:val="none"/>
                <w:lang w:val="en-US" w:eastAsia="zh-CN"/>
              </w:rPr>
              <w:t>10</w:t>
            </w:r>
            <w:r>
              <w:rPr>
                <w:rFonts w:hint="default" w:ascii="Times New Roman" w:hAnsi="Times New Roman" w:eastAsia="仿宋" w:cs="Times New Roman"/>
                <w:color w:val="auto"/>
                <w:sz w:val="21"/>
                <w:szCs w:val="21"/>
                <w:highlight w:val="none"/>
                <w:lang w:val="en-US" w:eastAsia="zh-CN"/>
              </w:rPr>
              <w:t>分）</w:t>
            </w:r>
          </w:p>
        </w:tc>
        <w:tc>
          <w:tcPr>
            <w:tcW w:w="1695" w:type="dxa"/>
            <w:shd w:val="clear" w:color="auto" w:fill="auto"/>
            <w:vAlign w:val="center"/>
          </w:tcPr>
          <w:p w14:paraId="75C5F4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kern w:val="0"/>
                <w:sz w:val="21"/>
                <w:szCs w:val="21"/>
                <w:highlight w:val="none"/>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保障司法办案顺利开展</w:t>
            </w:r>
            <w:r>
              <w:rPr>
                <w:rFonts w:hint="eastAsia" w:ascii="仿宋" w:hAnsi="仿宋" w:eastAsia="仿宋" w:cs="仿宋"/>
                <w:color w:val="auto"/>
                <w:sz w:val="21"/>
                <w:szCs w:val="21"/>
                <w:lang w:val="en-US" w:eastAsia="zh-CN"/>
              </w:rPr>
              <w:t>（10分）</w:t>
            </w:r>
          </w:p>
        </w:tc>
        <w:tc>
          <w:tcPr>
            <w:tcW w:w="3690" w:type="dxa"/>
            <w:shd w:val="clear" w:color="auto" w:fill="auto"/>
            <w:vAlign w:val="center"/>
          </w:tcPr>
          <w:p w14:paraId="4543AEA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eastAsia="zh-CN"/>
              </w:rPr>
            </w:pPr>
            <w:r>
              <w:rPr>
                <w:rFonts w:hint="eastAsia" w:eastAsia="仿宋" w:cs="Times New Roman"/>
                <w:color w:val="auto"/>
                <w:sz w:val="21"/>
                <w:szCs w:val="21"/>
                <w:highlight w:val="none"/>
                <w:lang w:val="en-US" w:eastAsia="zh-CN"/>
              </w:rPr>
              <w:t>通过项目实施，</w:t>
            </w:r>
            <w:r>
              <w:rPr>
                <w:rFonts w:hint="eastAsia" w:ascii="仿宋" w:hAnsi="仿宋" w:eastAsia="仿宋" w:cs="仿宋"/>
                <w:color w:val="000000" w:themeColor="text1"/>
                <w:kern w:val="0"/>
                <w:sz w:val="21"/>
                <w:szCs w:val="21"/>
                <w:lang w:val="en-US" w:eastAsia="zh-CN" w:bidi="ar"/>
                <w14:textFill>
                  <w14:solidFill>
                    <w14:schemeClr w14:val="tx1"/>
                  </w14:solidFill>
                </w14:textFill>
              </w:rPr>
              <w:t>保障司法办案顺利开展</w:t>
            </w:r>
            <w:r>
              <w:rPr>
                <w:rFonts w:hint="eastAsia" w:eastAsia="仿宋" w:cs="Times New Roman"/>
                <w:color w:val="auto"/>
                <w:sz w:val="21"/>
                <w:szCs w:val="21"/>
                <w:highlight w:val="none"/>
                <w:lang w:val="en-US" w:eastAsia="zh-CN"/>
              </w:rPr>
              <w:t>，用以反映和考核项目对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保障司法办案顺利开展</w:t>
            </w:r>
            <w:r>
              <w:rPr>
                <w:rFonts w:hint="eastAsia" w:eastAsia="仿宋" w:cs="Times New Roman"/>
                <w:color w:val="auto"/>
                <w:sz w:val="21"/>
                <w:szCs w:val="21"/>
                <w:highlight w:val="none"/>
                <w:lang w:val="en-US" w:eastAsia="zh-CN"/>
              </w:rPr>
              <w:t>的长期影响程度。</w:t>
            </w:r>
          </w:p>
        </w:tc>
        <w:tc>
          <w:tcPr>
            <w:tcW w:w="6169" w:type="dxa"/>
            <w:shd w:val="clear" w:color="auto" w:fill="auto"/>
            <w:vAlign w:val="center"/>
          </w:tcPr>
          <w:p w14:paraId="46859BF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eastAsia="zh-CN"/>
              </w:rPr>
              <w:t>根据</w:t>
            </w:r>
            <w:r>
              <w:rPr>
                <w:rFonts w:hint="eastAsia" w:eastAsia="仿宋" w:cs="Times New Roman"/>
                <w:color w:val="auto"/>
                <w:sz w:val="21"/>
                <w:szCs w:val="21"/>
                <w:highlight w:val="none"/>
                <w:lang w:val="en-US" w:eastAsia="zh-CN"/>
              </w:rPr>
              <w:t>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保障司法办案顺利开展</w:t>
            </w:r>
            <w:r>
              <w:rPr>
                <w:rFonts w:hint="eastAsia" w:eastAsia="仿宋" w:cs="Times New Roman"/>
                <w:color w:val="auto"/>
                <w:sz w:val="21"/>
                <w:szCs w:val="21"/>
                <w:highlight w:val="none"/>
                <w:lang w:val="en-US" w:eastAsia="zh-CN"/>
              </w:rPr>
              <w:t>影响程度</w:t>
            </w:r>
            <w:r>
              <w:rPr>
                <w:rFonts w:hint="default" w:ascii="Times New Roman" w:hAnsi="Times New Roman" w:eastAsia="仿宋" w:cs="Times New Roman"/>
                <w:color w:val="auto"/>
                <w:sz w:val="21"/>
                <w:szCs w:val="21"/>
                <w:highlight w:val="none"/>
                <w:lang w:val="en-US" w:eastAsia="zh-CN"/>
              </w:rPr>
              <w:t>权衡评分（0～</w:t>
            </w:r>
            <w:r>
              <w:rPr>
                <w:rFonts w:hint="eastAsia" w:eastAsia="仿宋" w:cs="Times New Roman"/>
                <w:color w:val="auto"/>
                <w:sz w:val="21"/>
                <w:szCs w:val="21"/>
                <w:highlight w:val="none"/>
                <w:lang w:val="en-US" w:eastAsia="zh-CN"/>
              </w:rPr>
              <w:t>10</w:t>
            </w:r>
            <w:r>
              <w:rPr>
                <w:rFonts w:hint="default" w:ascii="Times New Roman" w:hAnsi="Times New Roman" w:eastAsia="仿宋" w:cs="Times New Roman"/>
                <w:color w:val="auto"/>
                <w:sz w:val="21"/>
                <w:szCs w:val="21"/>
                <w:highlight w:val="none"/>
                <w:lang w:val="en-US" w:eastAsia="zh-CN"/>
              </w:rPr>
              <w:t>.0分）。</w:t>
            </w:r>
          </w:p>
        </w:tc>
      </w:tr>
      <w:tr w14:paraId="1DF92C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9" w:hRule="atLeast"/>
          <w:jc w:val="center"/>
        </w:trPr>
        <w:tc>
          <w:tcPr>
            <w:tcW w:w="1153" w:type="dxa"/>
            <w:vMerge w:val="continue"/>
            <w:vAlign w:val="center"/>
          </w:tcPr>
          <w:p w14:paraId="660625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208" w:type="dxa"/>
            <w:vAlign w:val="center"/>
          </w:tcPr>
          <w:p w14:paraId="305986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受益</w:t>
            </w:r>
            <w:r>
              <w:rPr>
                <w:rFonts w:hint="eastAsia" w:eastAsia="仿宋" w:cs="Times New Roman"/>
                <w:color w:val="auto"/>
                <w:sz w:val="21"/>
                <w:szCs w:val="21"/>
                <w:highlight w:val="none"/>
                <w:lang w:val="en-US" w:eastAsia="zh-CN"/>
              </w:rPr>
              <w:t>群</w:t>
            </w:r>
            <w:r>
              <w:rPr>
                <w:rFonts w:hint="default" w:ascii="Times New Roman" w:hAnsi="Times New Roman" w:eastAsia="仿宋" w:cs="Times New Roman"/>
                <w:color w:val="auto"/>
                <w:sz w:val="21"/>
                <w:szCs w:val="21"/>
                <w:highlight w:val="none"/>
                <w:lang w:val="en-US" w:eastAsia="zh-CN"/>
              </w:rPr>
              <w:t>体满意度</w:t>
            </w:r>
          </w:p>
          <w:p w14:paraId="14CAF8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eastAsia" w:eastAsia="仿宋" w:cs="Times New Roman"/>
                <w:color w:val="auto"/>
                <w:sz w:val="21"/>
                <w:szCs w:val="21"/>
                <w:highlight w:val="none"/>
                <w:lang w:val="en-US" w:eastAsia="zh-CN"/>
              </w:rPr>
              <w:t>（10</w:t>
            </w:r>
            <w:r>
              <w:rPr>
                <w:rFonts w:hint="default" w:ascii="Times New Roman" w:hAnsi="Times New Roman" w:eastAsia="仿宋" w:cs="Times New Roman"/>
                <w:color w:val="auto"/>
                <w:sz w:val="21"/>
                <w:szCs w:val="21"/>
                <w:highlight w:val="none"/>
                <w:lang w:val="en-US" w:eastAsia="zh-CN"/>
              </w:rPr>
              <w:t>分）</w:t>
            </w:r>
          </w:p>
        </w:tc>
        <w:tc>
          <w:tcPr>
            <w:tcW w:w="1695" w:type="dxa"/>
            <w:shd w:val="clear" w:color="auto" w:fill="auto"/>
            <w:vAlign w:val="center"/>
          </w:tcPr>
          <w:p w14:paraId="1FF33C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人民群众满意度（10分）</w:t>
            </w:r>
          </w:p>
        </w:tc>
        <w:tc>
          <w:tcPr>
            <w:tcW w:w="3690" w:type="dxa"/>
            <w:shd w:val="clear" w:color="auto" w:fill="auto"/>
            <w:vAlign w:val="center"/>
          </w:tcPr>
          <w:p w14:paraId="2ACAC17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人民群众</w:t>
            </w:r>
            <w:r>
              <w:rPr>
                <w:rFonts w:hint="default" w:ascii="Times New Roman" w:hAnsi="Times New Roman" w:eastAsia="仿宋" w:cs="Times New Roman"/>
                <w:color w:val="auto"/>
                <w:sz w:val="21"/>
                <w:szCs w:val="21"/>
                <w:highlight w:val="none"/>
                <w:lang w:val="en-US" w:eastAsia="zh-CN"/>
              </w:rPr>
              <w:t>对项目的满意程度。</w:t>
            </w:r>
          </w:p>
        </w:tc>
        <w:tc>
          <w:tcPr>
            <w:tcW w:w="6169" w:type="dxa"/>
            <w:shd w:val="clear" w:color="auto" w:fill="auto"/>
            <w:vAlign w:val="center"/>
          </w:tcPr>
          <w:p w14:paraId="14017E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人民群众满意度</w:t>
            </w:r>
            <w:r>
              <w:rPr>
                <w:rFonts w:hint="default" w:ascii="Times New Roman" w:hAnsi="Times New Roman" w:eastAsia="仿宋" w:cs="Times New Roman"/>
                <w:color w:val="auto"/>
                <w:sz w:val="21"/>
                <w:szCs w:val="21"/>
                <w:highlight w:val="none"/>
                <w:lang w:val="en-US" w:eastAsia="zh-CN"/>
              </w:rPr>
              <w:t>（a）=（调查问卷实际得分/调查问卷设定分值）×100%</w:t>
            </w:r>
          </w:p>
        </w:tc>
      </w:tr>
      <w:tr w14:paraId="30ABEE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jc w:val="center"/>
        </w:trPr>
        <w:tc>
          <w:tcPr>
            <w:tcW w:w="1153" w:type="dxa"/>
            <w:vAlign w:val="center"/>
          </w:tcPr>
          <w:p w14:paraId="0BAE91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eastAsia" w:eastAsia="仿宋" w:cs="Times New Roman"/>
                <w:color w:val="auto"/>
                <w:sz w:val="21"/>
                <w:szCs w:val="21"/>
                <w:highlight w:val="none"/>
                <w:lang w:eastAsia="zh-CN"/>
              </w:rPr>
              <w:t>合计</w:t>
            </w:r>
          </w:p>
        </w:tc>
        <w:tc>
          <w:tcPr>
            <w:tcW w:w="1208" w:type="dxa"/>
            <w:vAlign w:val="center"/>
          </w:tcPr>
          <w:p w14:paraId="7D9BDE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kern w:val="0"/>
                <w:sz w:val="21"/>
                <w:szCs w:val="21"/>
                <w:highlight w:val="none"/>
                <w:lang w:val="en-US" w:eastAsia="zh-CN"/>
              </w:rPr>
              <w:t>100分</w:t>
            </w:r>
          </w:p>
        </w:tc>
        <w:tc>
          <w:tcPr>
            <w:tcW w:w="1695" w:type="dxa"/>
            <w:shd w:val="clear" w:color="auto" w:fill="auto"/>
            <w:vAlign w:val="center"/>
          </w:tcPr>
          <w:p w14:paraId="68D30D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val="en-US" w:eastAsia="zh-CN"/>
              </w:rPr>
            </w:pPr>
          </w:p>
        </w:tc>
        <w:tc>
          <w:tcPr>
            <w:tcW w:w="3690" w:type="dxa"/>
            <w:shd w:val="clear" w:color="auto" w:fill="auto"/>
            <w:vAlign w:val="center"/>
          </w:tcPr>
          <w:p w14:paraId="2B84D67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val="en-US" w:eastAsia="zh-CN"/>
              </w:rPr>
            </w:pPr>
          </w:p>
        </w:tc>
        <w:tc>
          <w:tcPr>
            <w:tcW w:w="6169" w:type="dxa"/>
            <w:shd w:val="clear" w:color="auto" w:fill="auto"/>
            <w:vAlign w:val="center"/>
          </w:tcPr>
          <w:p w14:paraId="1F0994C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eastAsia" w:eastAsia="仿宋" w:cs="Times New Roman"/>
                <w:color w:val="auto"/>
                <w:sz w:val="21"/>
                <w:szCs w:val="21"/>
                <w:highlight w:val="none"/>
                <w:lang w:val="en-US" w:eastAsia="zh-CN"/>
              </w:rPr>
            </w:pPr>
          </w:p>
        </w:tc>
      </w:tr>
    </w:tbl>
    <w:p w14:paraId="09ADB061">
      <w:pPr>
        <w:rPr>
          <w:rFonts w:hint="eastAsia" w:ascii="Times New Roman" w:hAnsi="Times New Roman" w:cs="Times New Roman"/>
          <w:b/>
          <w:bCs/>
          <w:color w:val="auto"/>
          <w:sz w:val="32"/>
          <w:szCs w:val="32"/>
          <w:highlight w:val="none"/>
          <w:lang w:val="en-US" w:eastAsia="zh-CN"/>
        </w:rPr>
      </w:pPr>
      <w:bookmarkStart w:id="88" w:name="_Toc15087_WPSOffice_Level1"/>
      <w:r>
        <w:rPr>
          <w:rFonts w:hint="eastAsia" w:ascii="Times New Roman" w:hAnsi="Times New Roman" w:cs="Times New Roman"/>
          <w:b/>
          <w:bCs/>
          <w:color w:val="auto"/>
          <w:sz w:val="32"/>
          <w:szCs w:val="32"/>
          <w:highlight w:val="none"/>
          <w:lang w:val="en-US" w:eastAsia="zh-CN"/>
        </w:rPr>
        <w:br w:type="page"/>
      </w:r>
    </w:p>
    <w:p w14:paraId="40F67579">
      <w:pPr>
        <w:jc w:val="left"/>
        <w:rPr>
          <w:rFonts w:hint="eastAsia" w:ascii="Times New Roman" w:hAnsi="Times New Roman" w:cs="Times New Roman"/>
          <w:b/>
          <w:bCs/>
          <w:color w:val="auto"/>
          <w:sz w:val="32"/>
          <w:szCs w:val="32"/>
          <w:highlight w:val="none"/>
          <w:lang w:val="en-US" w:eastAsia="zh-CN"/>
        </w:rPr>
      </w:pPr>
      <w:r>
        <w:rPr>
          <w:rFonts w:hint="eastAsia" w:ascii="Times New Roman" w:hAnsi="Times New Roman" w:cs="Times New Roman"/>
          <w:b/>
          <w:bCs/>
          <w:color w:val="auto"/>
          <w:sz w:val="32"/>
          <w:szCs w:val="32"/>
          <w:highlight w:val="none"/>
          <w:lang w:val="en-US" w:eastAsia="zh-CN"/>
        </w:rPr>
        <w:t>附件2：办案（业务）经费项目绩效指标体系打分情况表</w:t>
      </w:r>
      <w:bookmarkEnd w:id="88"/>
    </w:p>
    <w:p w14:paraId="7A410612">
      <w:pPr>
        <w:jc w:val="center"/>
        <w:rPr>
          <w:rFonts w:hint="eastAsia" w:ascii="Times New Roman" w:hAnsi="Times New Roman" w:cs="Times New Roman"/>
          <w:b/>
          <w:bCs/>
          <w:color w:val="auto"/>
          <w:sz w:val="28"/>
          <w:szCs w:val="28"/>
          <w:highlight w:val="none"/>
          <w:lang w:val="en-US" w:eastAsia="zh-CN"/>
        </w:rPr>
      </w:pPr>
      <w:bookmarkStart w:id="89" w:name="_Toc11030_WPSOffice_Level2"/>
      <w:r>
        <w:rPr>
          <w:rFonts w:hint="eastAsia" w:cs="Times New Roman"/>
          <w:b/>
          <w:bCs/>
          <w:color w:val="auto"/>
          <w:sz w:val="28"/>
          <w:szCs w:val="28"/>
          <w:lang w:val="en-US" w:eastAsia="zh-CN"/>
        </w:rPr>
        <w:t>呼和浩特市赛罕区人民检察院</w:t>
      </w:r>
      <w:r>
        <w:rPr>
          <w:rFonts w:hint="eastAsia" w:cs="Times New Roman"/>
          <w:b/>
          <w:bCs/>
          <w:color w:val="auto"/>
          <w:sz w:val="28"/>
          <w:szCs w:val="28"/>
          <w:highlight w:val="none"/>
          <w:lang w:val="en-US" w:eastAsia="zh-CN"/>
        </w:rPr>
        <w:t>办案（业务）经费</w:t>
      </w:r>
      <w:r>
        <w:rPr>
          <w:rFonts w:hint="eastAsia" w:ascii="Times New Roman" w:hAnsi="Times New Roman" w:cs="Times New Roman"/>
          <w:b/>
          <w:bCs/>
          <w:color w:val="auto"/>
          <w:sz w:val="28"/>
          <w:szCs w:val="28"/>
          <w:highlight w:val="none"/>
          <w:lang w:val="en-US" w:eastAsia="zh-CN"/>
        </w:rPr>
        <w:t>绩效评价指标体系打分表</w:t>
      </w:r>
      <w:bookmarkEnd w:id="89"/>
    </w:p>
    <w:tbl>
      <w:tblPr>
        <w:tblStyle w:val="20"/>
        <w:tblW w:w="143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12"/>
        <w:gridCol w:w="1194"/>
        <w:gridCol w:w="1779"/>
        <w:gridCol w:w="2999"/>
        <w:gridCol w:w="5695"/>
        <w:gridCol w:w="1567"/>
      </w:tblGrid>
      <w:tr w14:paraId="3483D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 w:hRule="atLeast"/>
          <w:tblHeader/>
          <w:jc w:val="center"/>
        </w:trPr>
        <w:tc>
          <w:tcPr>
            <w:tcW w:w="1112" w:type="dxa"/>
            <w:shd w:val="clear" w:color="auto" w:fill="AEAAAA"/>
            <w:vAlign w:val="center"/>
          </w:tcPr>
          <w:p w14:paraId="67851E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一级指标</w:t>
            </w:r>
          </w:p>
        </w:tc>
        <w:tc>
          <w:tcPr>
            <w:tcW w:w="1194" w:type="dxa"/>
            <w:shd w:val="clear" w:color="auto" w:fill="AEAAAA"/>
            <w:vAlign w:val="center"/>
          </w:tcPr>
          <w:p w14:paraId="75602B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二级指标</w:t>
            </w:r>
          </w:p>
        </w:tc>
        <w:tc>
          <w:tcPr>
            <w:tcW w:w="1779" w:type="dxa"/>
            <w:shd w:val="clear" w:color="auto" w:fill="AEAAAA"/>
            <w:noWrap/>
            <w:vAlign w:val="center"/>
          </w:tcPr>
          <w:p w14:paraId="148926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三级指标</w:t>
            </w:r>
          </w:p>
        </w:tc>
        <w:tc>
          <w:tcPr>
            <w:tcW w:w="2999" w:type="dxa"/>
            <w:shd w:val="clear" w:color="auto" w:fill="AEAAAA"/>
            <w:noWrap/>
            <w:vAlign w:val="center"/>
          </w:tcPr>
          <w:p w14:paraId="4D5772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lang w:val="en-US" w:eastAsia="zh-CN"/>
              </w:rPr>
            </w:pPr>
            <w:r>
              <w:rPr>
                <w:rFonts w:hint="default" w:ascii="Times New Roman" w:hAnsi="Times New Roman" w:eastAsia="仿宋" w:cs="Times New Roman"/>
                <w:b/>
                <w:bCs/>
                <w:color w:val="auto"/>
                <w:sz w:val="21"/>
                <w:szCs w:val="21"/>
                <w:highlight w:val="none"/>
                <w:lang w:val="en-US" w:eastAsia="zh-CN"/>
              </w:rPr>
              <w:t>指标解释</w:t>
            </w:r>
          </w:p>
        </w:tc>
        <w:tc>
          <w:tcPr>
            <w:tcW w:w="5695" w:type="dxa"/>
            <w:shd w:val="clear" w:color="auto" w:fill="AEAAAA"/>
            <w:noWrap/>
            <w:vAlign w:val="center"/>
          </w:tcPr>
          <w:p w14:paraId="072053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lang w:val="en-US" w:eastAsia="zh-CN"/>
              </w:rPr>
            </w:pPr>
            <w:r>
              <w:rPr>
                <w:rFonts w:hint="eastAsia" w:ascii="Times New Roman" w:hAnsi="Times New Roman" w:eastAsia="仿宋" w:cs="Times New Roman"/>
                <w:b/>
                <w:bCs/>
                <w:color w:val="auto"/>
                <w:sz w:val="21"/>
                <w:szCs w:val="21"/>
                <w:highlight w:val="none"/>
                <w:lang w:val="en-US" w:eastAsia="zh-CN"/>
              </w:rPr>
              <w:t>指标说明</w:t>
            </w:r>
          </w:p>
        </w:tc>
        <w:tc>
          <w:tcPr>
            <w:tcW w:w="1567" w:type="dxa"/>
            <w:shd w:val="clear" w:color="auto" w:fill="AEAAAA"/>
            <w:noWrap/>
            <w:vAlign w:val="center"/>
          </w:tcPr>
          <w:p w14:paraId="40A7A4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b/>
                <w:bCs/>
                <w:color w:val="auto"/>
                <w:sz w:val="21"/>
                <w:szCs w:val="21"/>
                <w:highlight w:val="none"/>
                <w:lang w:val="en-US" w:eastAsia="zh-CN"/>
              </w:rPr>
            </w:pPr>
            <w:r>
              <w:rPr>
                <w:rFonts w:hint="default" w:ascii="Times New Roman" w:hAnsi="Times New Roman" w:eastAsia="仿宋" w:cs="Times New Roman"/>
                <w:b/>
                <w:bCs/>
                <w:color w:val="auto"/>
                <w:sz w:val="21"/>
                <w:szCs w:val="21"/>
                <w:highlight w:val="none"/>
                <w:lang w:val="en-US" w:eastAsia="zh-CN"/>
              </w:rPr>
              <w:t>得分</w:t>
            </w:r>
          </w:p>
        </w:tc>
      </w:tr>
      <w:tr w14:paraId="71BB1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4" w:hRule="atLeast"/>
          <w:jc w:val="center"/>
        </w:trPr>
        <w:tc>
          <w:tcPr>
            <w:tcW w:w="1112" w:type="dxa"/>
            <w:vMerge w:val="restart"/>
            <w:vAlign w:val="center"/>
          </w:tcPr>
          <w:p w14:paraId="29B5C1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决策</w:t>
            </w:r>
          </w:p>
          <w:p w14:paraId="186454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21分</w:t>
            </w:r>
            <w:r>
              <w:rPr>
                <w:rFonts w:hint="default" w:ascii="Times New Roman" w:hAnsi="Times New Roman" w:eastAsia="仿宋" w:cs="Times New Roman"/>
                <w:color w:val="auto"/>
                <w:sz w:val="21"/>
                <w:szCs w:val="21"/>
                <w:highlight w:val="none"/>
                <w:lang w:eastAsia="zh-CN"/>
              </w:rPr>
              <w:t>）</w:t>
            </w:r>
          </w:p>
        </w:tc>
        <w:tc>
          <w:tcPr>
            <w:tcW w:w="1194" w:type="dxa"/>
            <w:vMerge w:val="restart"/>
            <w:vAlign w:val="center"/>
          </w:tcPr>
          <w:p w14:paraId="576288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项目</w:t>
            </w:r>
          </w:p>
          <w:p w14:paraId="68F72F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立项</w:t>
            </w:r>
          </w:p>
          <w:p w14:paraId="74E86F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8分</w:t>
            </w:r>
            <w:r>
              <w:rPr>
                <w:rFonts w:hint="default" w:ascii="Times New Roman" w:hAnsi="Times New Roman" w:eastAsia="仿宋" w:cs="Times New Roman"/>
                <w:color w:val="auto"/>
                <w:sz w:val="21"/>
                <w:szCs w:val="21"/>
                <w:highlight w:val="none"/>
                <w:lang w:eastAsia="zh-CN"/>
              </w:rPr>
              <w:t>）</w:t>
            </w:r>
          </w:p>
        </w:tc>
        <w:tc>
          <w:tcPr>
            <w:tcW w:w="1779" w:type="dxa"/>
            <w:vAlign w:val="center"/>
          </w:tcPr>
          <w:p w14:paraId="0667405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立项依据充分性</w:t>
            </w:r>
          </w:p>
          <w:p w14:paraId="5B6B84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5分</w:t>
            </w:r>
            <w:r>
              <w:rPr>
                <w:rFonts w:hint="default" w:ascii="Times New Roman" w:hAnsi="Times New Roman" w:eastAsia="仿宋" w:cs="Times New Roman"/>
                <w:color w:val="auto"/>
                <w:sz w:val="21"/>
                <w:szCs w:val="21"/>
                <w:highlight w:val="none"/>
                <w:lang w:eastAsia="zh-CN"/>
              </w:rPr>
              <w:t>）</w:t>
            </w:r>
          </w:p>
        </w:tc>
        <w:tc>
          <w:tcPr>
            <w:tcW w:w="2999" w:type="dxa"/>
            <w:vAlign w:val="center"/>
          </w:tcPr>
          <w:p w14:paraId="50EF0810">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项目立项是否符合法律法规、相关政策、发展规划以及部门职责，用以反映和考核项目立项依据情况。</w:t>
            </w:r>
          </w:p>
        </w:tc>
        <w:tc>
          <w:tcPr>
            <w:tcW w:w="5695" w:type="dxa"/>
            <w:vAlign w:val="center"/>
          </w:tcPr>
          <w:p w14:paraId="05843E37">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①项目立项符合国家法律法规、国民经济发展规划和相关政策，0～1.0分；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②项目立项符合行业发展规划和政策要求，0～1.0分；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③项目立项与部门职责范围相符，属于部门履职所需，0～1.0分；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④项目属于公共财政支持范围，符合中央、地方事权支出责任划分原则，0～1.0分；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⑤项目没有与相关部门有同类项目或部门内部相关项目重复，0～1.0分。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上述评价内容每符合一项得到该项对应分值，若不符合对应项得分为0。</w:t>
            </w:r>
          </w:p>
        </w:tc>
        <w:tc>
          <w:tcPr>
            <w:tcW w:w="1567" w:type="dxa"/>
            <w:vAlign w:val="center"/>
          </w:tcPr>
          <w:p w14:paraId="472D35F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5</w:t>
            </w:r>
          </w:p>
        </w:tc>
      </w:tr>
      <w:tr w14:paraId="2C43B1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1112" w:type="dxa"/>
            <w:vMerge w:val="continue"/>
            <w:vAlign w:val="center"/>
          </w:tcPr>
          <w:p w14:paraId="044041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194" w:type="dxa"/>
            <w:vMerge w:val="continue"/>
            <w:vAlign w:val="center"/>
          </w:tcPr>
          <w:p w14:paraId="4314D0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779" w:type="dxa"/>
            <w:vAlign w:val="center"/>
          </w:tcPr>
          <w:p w14:paraId="3A69BF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立项程序规范性</w:t>
            </w:r>
          </w:p>
          <w:p w14:paraId="3528DFF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3分</w:t>
            </w:r>
            <w:r>
              <w:rPr>
                <w:rFonts w:hint="default" w:ascii="Times New Roman" w:hAnsi="Times New Roman" w:eastAsia="仿宋" w:cs="Times New Roman"/>
                <w:color w:val="auto"/>
                <w:sz w:val="21"/>
                <w:szCs w:val="21"/>
                <w:highlight w:val="none"/>
                <w:lang w:eastAsia="zh-CN"/>
              </w:rPr>
              <w:t>）</w:t>
            </w:r>
          </w:p>
        </w:tc>
        <w:tc>
          <w:tcPr>
            <w:tcW w:w="2999" w:type="dxa"/>
            <w:vAlign w:val="center"/>
          </w:tcPr>
          <w:p w14:paraId="03E7481A">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项目申请、设立过程是否符合相关要求，用以反映和考核项目立项的规范情况。</w:t>
            </w:r>
          </w:p>
        </w:tc>
        <w:tc>
          <w:tcPr>
            <w:tcW w:w="5695" w:type="dxa"/>
            <w:vAlign w:val="center"/>
          </w:tcPr>
          <w:p w14:paraId="3E5915BA">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①项目申请程序符合程度评分，0～1.5分；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②审批的文件、材料符合程度评分，0～1.5分；</w:t>
            </w:r>
          </w:p>
        </w:tc>
        <w:tc>
          <w:tcPr>
            <w:tcW w:w="1567" w:type="dxa"/>
            <w:vAlign w:val="center"/>
          </w:tcPr>
          <w:p w14:paraId="4CBF4AA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3</w:t>
            </w:r>
          </w:p>
        </w:tc>
      </w:tr>
      <w:tr w14:paraId="61DC0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jc w:val="center"/>
        </w:trPr>
        <w:tc>
          <w:tcPr>
            <w:tcW w:w="1112" w:type="dxa"/>
            <w:vMerge w:val="continue"/>
            <w:vAlign w:val="center"/>
          </w:tcPr>
          <w:p w14:paraId="02EE8E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194" w:type="dxa"/>
            <w:vMerge w:val="restart"/>
            <w:vAlign w:val="center"/>
          </w:tcPr>
          <w:p w14:paraId="201CA1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绩效</w:t>
            </w:r>
          </w:p>
          <w:p w14:paraId="432FE6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目标</w:t>
            </w:r>
          </w:p>
          <w:p w14:paraId="5CEA21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7分</w:t>
            </w:r>
            <w:r>
              <w:rPr>
                <w:rFonts w:hint="default" w:ascii="Times New Roman" w:hAnsi="Times New Roman" w:eastAsia="仿宋" w:cs="Times New Roman"/>
                <w:color w:val="auto"/>
                <w:sz w:val="21"/>
                <w:szCs w:val="21"/>
                <w:highlight w:val="none"/>
                <w:lang w:eastAsia="zh-CN"/>
              </w:rPr>
              <w:t>）</w:t>
            </w:r>
          </w:p>
        </w:tc>
        <w:tc>
          <w:tcPr>
            <w:tcW w:w="1779" w:type="dxa"/>
            <w:vAlign w:val="center"/>
          </w:tcPr>
          <w:p w14:paraId="59515A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绩效目标合理性</w:t>
            </w:r>
          </w:p>
          <w:p w14:paraId="0DD6DC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4分</w:t>
            </w:r>
            <w:r>
              <w:rPr>
                <w:rFonts w:hint="default" w:ascii="Times New Roman" w:hAnsi="Times New Roman" w:eastAsia="仿宋" w:cs="Times New Roman"/>
                <w:color w:val="auto"/>
                <w:sz w:val="21"/>
                <w:szCs w:val="21"/>
                <w:highlight w:val="none"/>
                <w:lang w:eastAsia="zh-CN"/>
              </w:rPr>
              <w:t>）</w:t>
            </w:r>
          </w:p>
        </w:tc>
        <w:tc>
          <w:tcPr>
            <w:tcW w:w="2999" w:type="dxa"/>
            <w:vAlign w:val="center"/>
          </w:tcPr>
          <w:p w14:paraId="120F3CE8">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项目所设定的绩效目标是否依据充分，是否符合客观实际，用以反映和考核项目绩效目标与项目实施的相符情况。</w:t>
            </w:r>
          </w:p>
        </w:tc>
        <w:tc>
          <w:tcPr>
            <w:tcW w:w="5695" w:type="dxa"/>
            <w:vAlign w:val="center"/>
          </w:tcPr>
          <w:p w14:paraId="6484F62A">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①项目有绩效目标，0～1.0分；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②项目绩效目标与实际工作内容具有相关性，0～1.0分；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③项目预期产出效益和效果符合正常的业绩水平，0～1.0分；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④与预算确定的项目投资额或资金量相匹配，0～1.0分。</w:t>
            </w:r>
          </w:p>
        </w:tc>
        <w:tc>
          <w:tcPr>
            <w:tcW w:w="1567" w:type="dxa"/>
            <w:vAlign w:val="center"/>
          </w:tcPr>
          <w:p w14:paraId="26342A3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4</w:t>
            </w:r>
          </w:p>
        </w:tc>
      </w:tr>
      <w:tr w14:paraId="5B69BD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3B9690B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194" w:type="dxa"/>
            <w:vMerge w:val="continue"/>
            <w:vAlign w:val="center"/>
          </w:tcPr>
          <w:p w14:paraId="31789C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779" w:type="dxa"/>
            <w:vAlign w:val="center"/>
          </w:tcPr>
          <w:p w14:paraId="63499A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绩效指标明确性</w:t>
            </w:r>
          </w:p>
          <w:p w14:paraId="365DFE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3分</w:t>
            </w:r>
            <w:r>
              <w:rPr>
                <w:rFonts w:hint="default" w:ascii="Times New Roman" w:hAnsi="Times New Roman" w:eastAsia="仿宋" w:cs="Times New Roman"/>
                <w:color w:val="auto"/>
                <w:sz w:val="21"/>
                <w:szCs w:val="21"/>
                <w:highlight w:val="none"/>
                <w:lang w:eastAsia="zh-CN"/>
              </w:rPr>
              <w:t>）</w:t>
            </w:r>
          </w:p>
        </w:tc>
        <w:tc>
          <w:tcPr>
            <w:tcW w:w="2999" w:type="dxa"/>
            <w:vAlign w:val="center"/>
          </w:tcPr>
          <w:p w14:paraId="724D7267">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b w:val="0"/>
                <w:bCs w:val="0"/>
                <w:color w:val="auto"/>
                <w:kern w:val="0"/>
                <w:sz w:val="21"/>
                <w:szCs w:val="21"/>
                <w:lang w:val="en-US" w:eastAsia="zh-CN"/>
              </w:rPr>
              <w:t>依据绩效目标设定的绩效指标是否清晰、细化、可衡量等，用以反映和考核项目绩效目标的明细化情况。</w:t>
            </w:r>
          </w:p>
        </w:tc>
        <w:tc>
          <w:tcPr>
            <w:tcW w:w="5695" w:type="dxa"/>
            <w:vAlign w:val="center"/>
          </w:tcPr>
          <w:p w14:paraId="03AF0BDD">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①将项目绩效目标细化分解为具体的绩效指标，0～1.0分；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②通过清晰、可衡量的指标值予以体现，0～1.0分；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③与项目目标任务数或计划数相对应，0～1.0分。</w:t>
            </w:r>
          </w:p>
        </w:tc>
        <w:tc>
          <w:tcPr>
            <w:tcW w:w="1567" w:type="dxa"/>
            <w:vAlign w:val="center"/>
          </w:tcPr>
          <w:p w14:paraId="605C401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3</w:t>
            </w:r>
          </w:p>
        </w:tc>
      </w:tr>
      <w:tr w14:paraId="17A0E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1112" w:type="dxa"/>
            <w:vMerge w:val="continue"/>
            <w:vAlign w:val="center"/>
          </w:tcPr>
          <w:p w14:paraId="241A150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194" w:type="dxa"/>
            <w:vMerge w:val="restart"/>
            <w:vAlign w:val="center"/>
          </w:tcPr>
          <w:p w14:paraId="0BD85E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资金</w:t>
            </w:r>
          </w:p>
          <w:p w14:paraId="04A07BE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投入</w:t>
            </w:r>
          </w:p>
          <w:p w14:paraId="6AF8C4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6分</w:t>
            </w:r>
            <w:r>
              <w:rPr>
                <w:rFonts w:hint="default" w:ascii="Times New Roman" w:hAnsi="Times New Roman" w:eastAsia="仿宋" w:cs="Times New Roman"/>
                <w:color w:val="auto"/>
                <w:sz w:val="21"/>
                <w:szCs w:val="21"/>
                <w:highlight w:val="none"/>
                <w:lang w:eastAsia="zh-CN"/>
              </w:rPr>
              <w:t>）</w:t>
            </w:r>
          </w:p>
        </w:tc>
        <w:tc>
          <w:tcPr>
            <w:tcW w:w="1779" w:type="dxa"/>
            <w:vAlign w:val="center"/>
          </w:tcPr>
          <w:p w14:paraId="3B5D1B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预算编制科学性</w:t>
            </w:r>
          </w:p>
          <w:p w14:paraId="76123F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4分</w:t>
            </w:r>
            <w:r>
              <w:rPr>
                <w:rFonts w:hint="default" w:ascii="Times New Roman" w:hAnsi="Times New Roman" w:eastAsia="仿宋" w:cs="Times New Roman"/>
                <w:color w:val="auto"/>
                <w:sz w:val="21"/>
                <w:szCs w:val="21"/>
                <w:highlight w:val="none"/>
                <w:lang w:eastAsia="zh-CN"/>
              </w:rPr>
              <w:t>）</w:t>
            </w:r>
          </w:p>
        </w:tc>
        <w:tc>
          <w:tcPr>
            <w:tcW w:w="2999" w:type="dxa"/>
            <w:vAlign w:val="center"/>
          </w:tcPr>
          <w:p w14:paraId="3127794B">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b w:val="0"/>
                <w:bCs w:val="0"/>
                <w:color w:val="auto"/>
                <w:kern w:val="0"/>
                <w:sz w:val="21"/>
                <w:szCs w:val="21"/>
                <w:lang w:val="en-US" w:eastAsia="zh-CN"/>
              </w:rPr>
              <w:t>项目预算编制是否经过科学论证、有明确标准，资金额度与年度目标是否相适应，用以反映和考核项目预算编制的科学性、合理性情况。</w:t>
            </w:r>
          </w:p>
        </w:tc>
        <w:tc>
          <w:tcPr>
            <w:tcW w:w="5695" w:type="dxa"/>
            <w:vAlign w:val="center"/>
          </w:tcPr>
          <w:p w14:paraId="2FF7150F">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b w:val="0"/>
                <w:bCs w:val="0"/>
                <w:color w:val="auto"/>
                <w:kern w:val="0"/>
                <w:sz w:val="21"/>
                <w:szCs w:val="21"/>
                <w:lang w:val="en-US" w:eastAsia="zh-CN"/>
              </w:rPr>
              <w:t>①预算编制经过科学论证，0～1.0分；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②预算内容与项目内容匹配，0～1.0分；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③预算额度测算依据充分，按照标准编制，0～1.0分；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④预算确定的项目投资额或资金量与工作任务相匹配，0～1.0分。</w:t>
            </w:r>
          </w:p>
        </w:tc>
        <w:tc>
          <w:tcPr>
            <w:tcW w:w="1567" w:type="dxa"/>
            <w:vAlign w:val="center"/>
          </w:tcPr>
          <w:p w14:paraId="53F3326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4</w:t>
            </w:r>
          </w:p>
        </w:tc>
      </w:tr>
      <w:tr w14:paraId="2F6DC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3452E5D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194" w:type="dxa"/>
            <w:vMerge w:val="continue"/>
            <w:vAlign w:val="center"/>
          </w:tcPr>
          <w:p w14:paraId="572A63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p>
        </w:tc>
        <w:tc>
          <w:tcPr>
            <w:tcW w:w="1779" w:type="dxa"/>
            <w:vAlign w:val="center"/>
          </w:tcPr>
          <w:p w14:paraId="1B6B0F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资金分配合理性</w:t>
            </w:r>
          </w:p>
          <w:p w14:paraId="065916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eastAsia="zh-CN"/>
              </w:rPr>
              <w:t>（</w:t>
            </w:r>
            <w:r>
              <w:rPr>
                <w:rFonts w:hint="default" w:ascii="Times New Roman" w:hAnsi="Times New Roman" w:eastAsia="仿宋" w:cs="Times New Roman"/>
                <w:color w:val="auto"/>
                <w:sz w:val="21"/>
                <w:szCs w:val="21"/>
                <w:highlight w:val="none"/>
                <w:lang w:val="en-US" w:eastAsia="zh-CN"/>
              </w:rPr>
              <w:t>2分</w:t>
            </w:r>
            <w:r>
              <w:rPr>
                <w:rFonts w:hint="default" w:ascii="Times New Roman" w:hAnsi="Times New Roman" w:eastAsia="仿宋" w:cs="Times New Roman"/>
                <w:color w:val="auto"/>
                <w:sz w:val="21"/>
                <w:szCs w:val="21"/>
                <w:highlight w:val="none"/>
                <w:lang w:eastAsia="zh-CN"/>
              </w:rPr>
              <w:t>）</w:t>
            </w:r>
          </w:p>
        </w:tc>
        <w:tc>
          <w:tcPr>
            <w:tcW w:w="2999" w:type="dxa"/>
            <w:vAlign w:val="center"/>
          </w:tcPr>
          <w:p w14:paraId="77671DC1">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rPr>
              <w:t>项目资金分配是否</w:t>
            </w:r>
            <w:r>
              <w:rPr>
                <w:rFonts w:hint="default" w:ascii="Times New Roman" w:hAnsi="Times New Roman" w:eastAsia="仿宋" w:cs="Times New Roman"/>
                <w:color w:val="auto"/>
                <w:sz w:val="21"/>
                <w:szCs w:val="21"/>
                <w:lang w:eastAsia="zh-CN"/>
              </w:rPr>
              <w:t>有测算依据，与补助单位或地方实际是否相适应，用以</w:t>
            </w:r>
            <w:r>
              <w:rPr>
                <w:rFonts w:hint="eastAsia" w:eastAsia="仿宋" w:cs="Times New Roman"/>
                <w:color w:val="auto"/>
                <w:sz w:val="21"/>
                <w:szCs w:val="21"/>
                <w:lang w:eastAsia="zh-CN"/>
              </w:rPr>
              <w:t>反映</w:t>
            </w:r>
            <w:r>
              <w:rPr>
                <w:rFonts w:hint="default" w:ascii="Times New Roman" w:hAnsi="Times New Roman" w:eastAsia="仿宋" w:cs="Times New Roman"/>
                <w:color w:val="auto"/>
                <w:sz w:val="21"/>
                <w:szCs w:val="21"/>
                <w:lang w:eastAsia="zh-CN"/>
              </w:rPr>
              <w:t>和考核项目预算资金分配的科学性、合理性等情况。</w:t>
            </w:r>
          </w:p>
        </w:tc>
        <w:tc>
          <w:tcPr>
            <w:tcW w:w="5695" w:type="dxa"/>
            <w:vAlign w:val="center"/>
          </w:tcPr>
          <w:p w14:paraId="17291A4D">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①</w:t>
            </w:r>
            <w:r>
              <w:rPr>
                <w:rFonts w:hint="default" w:ascii="Times New Roman" w:hAnsi="Times New Roman" w:eastAsia="仿宋" w:cs="Times New Roman"/>
                <w:color w:val="auto"/>
                <w:sz w:val="21"/>
                <w:szCs w:val="21"/>
                <w:lang w:eastAsia="zh-CN"/>
              </w:rPr>
              <w:t>预算资金分配经过科学论证，</w:t>
            </w:r>
            <w:r>
              <w:rPr>
                <w:rFonts w:hint="default" w:ascii="Times New Roman" w:hAnsi="Times New Roman" w:eastAsia="仿宋" w:cs="Times New Roman"/>
                <w:b w:val="0"/>
                <w:bCs w:val="0"/>
                <w:color w:val="auto"/>
                <w:kern w:val="0"/>
                <w:sz w:val="21"/>
                <w:szCs w:val="21"/>
                <w:lang w:val="en-US" w:eastAsia="zh-CN"/>
              </w:rPr>
              <w:t>0～1.0分</w:t>
            </w:r>
            <w:r>
              <w:rPr>
                <w:rFonts w:hint="default" w:ascii="Times New Roman" w:hAnsi="Times New Roman" w:eastAsia="仿宋" w:cs="Times New Roman"/>
                <w:color w:val="auto"/>
                <w:sz w:val="21"/>
                <w:szCs w:val="21"/>
              </w:rPr>
              <w:t>；</w:t>
            </w:r>
          </w:p>
          <w:p w14:paraId="068A578E">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rPr>
              <w:t>②</w:t>
            </w:r>
            <w:r>
              <w:rPr>
                <w:rFonts w:hint="default" w:ascii="Times New Roman" w:hAnsi="Times New Roman" w:eastAsia="仿宋" w:cs="Times New Roman"/>
                <w:color w:val="auto"/>
                <w:sz w:val="21"/>
                <w:szCs w:val="21"/>
                <w:lang w:eastAsia="zh-CN"/>
              </w:rPr>
              <w:t>资金分配额度合理，与相符单位或地方实际相适应，</w:t>
            </w:r>
            <w:r>
              <w:rPr>
                <w:rFonts w:hint="default" w:ascii="Times New Roman" w:hAnsi="Times New Roman" w:eastAsia="仿宋" w:cs="Times New Roman"/>
                <w:b w:val="0"/>
                <w:bCs w:val="0"/>
                <w:color w:val="auto"/>
                <w:kern w:val="0"/>
                <w:sz w:val="21"/>
                <w:szCs w:val="21"/>
                <w:lang w:val="en-US" w:eastAsia="zh-CN"/>
              </w:rPr>
              <w:t>0～1.0分。</w:t>
            </w:r>
          </w:p>
        </w:tc>
        <w:tc>
          <w:tcPr>
            <w:tcW w:w="1567" w:type="dxa"/>
            <w:vAlign w:val="center"/>
          </w:tcPr>
          <w:p w14:paraId="38B539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2</w:t>
            </w:r>
          </w:p>
        </w:tc>
      </w:tr>
      <w:tr w14:paraId="38D6D6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jc w:val="center"/>
        </w:trPr>
        <w:tc>
          <w:tcPr>
            <w:tcW w:w="1112" w:type="dxa"/>
            <w:vMerge w:val="restart"/>
            <w:vAlign w:val="center"/>
          </w:tcPr>
          <w:p w14:paraId="4088E2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过程</w:t>
            </w:r>
          </w:p>
          <w:p w14:paraId="22E663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（19分）</w:t>
            </w:r>
          </w:p>
        </w:tc>
        <w:tc>
          <w:tcPr>
            <w:tcW w:w="1194" w:type="dxa"/>
            <w:vMerge w:val="restart"/>
            <w:vAlign w:val="center"/>
          </w:tcPr>
          <w:p w14:paraId="7CF7798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资金</w:t>
            </w:r>
          </w:p>
          <w:p w14:paraId="36F3F9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管理</w:t>
            </w:r>
          </w:p>
          <w:p w14:paraId="017F44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（13</w:t>
            </w:r>
            <w:r>
              <w:rPr>
                <w:rFonts w:hint="eastAsia" w:cs="Times New Roman"/>
                <w:color w:val="auto"/>
                <w:sz w:val="21"/>
                <w:szCs w:val="21"/>
                <w:highlight w:val="none"/>
                <w:lang w:val="en-US" w:eastAsia="zh-CN"/>
              </w:rPr>
              <w:t>分</w:t>
            </w:r>
            <w:r>
              <w:rPr>
                <w:rFonts w:hint="default" w:ascii="Times New Roman" w:hAnsi="Times New Roman" w:eastAsia="仿宋" w:cs="Times New Roman"/>
                <w:color w:val="auto"/>
                <w:sz w:val="21"/>
                <w:szCs w:val="21"/>
                <w:highlight w:val="none"/>
                <w:lang w:val="en-US" w:eastAsia="zh-CN"/>
              </w:rPr>
              <w:t>）</w:t>
            </w:r>
          </w:p>
        </w:tc>
        <w:tc>
          <w:tcPr>
            <w:tcW w:w="1779" w:type="dxa"/>
            <w:vAlign w:val="center"/>
          </w:tcPr>
          <w:p w14:paraId="1EBDFD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资金到位率</w:t>
            </w:r>
          </w:p>
          <w:p w14:paraId="1E6FC6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lang w:val="en-US" w:eastAsia="zh-CN"/>
              </w:rPr>
              <w:t>（4分）</w:t>
            </w:r>
          </w:p>
        </w:tc>
        <w:tc>
          <w:tcPr>
            <w:tcW w:w="2999" w:type="dxa"/>
            <w:vAlign w:val="center"/>
          </w:tcPr>
          <w:p w14:paraId="58FA32E8">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rPr>
              <w:t>项目资金的到位情况。</w:t>
            </w:r>
          </w:p>
        </w:tc>
        <w:tc>
          <w:tcPr>
            <w:tcW w:w="5695" w:type="dxa"/>
            <w:vAlign w:val="top"/>
          </w:tcPr>
          <w:p w14:paraId="1F8B6713">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rPr>
              <w:t>资金到位率=实际到位资金/计划到位资金×100</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，每降低1</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扣0.02分，扣完为止。</w:t>
            </w:r>
          </w:p>
        </w:tc>
        <w:tc>
          <w:tcPr>
            <w:tcW w:w="1567" w:type="dxa"/>
            <w:vAlign w:val="center"/>
          </w:tcPr>
          <w:p w14:paraId="34BD7BB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4</w:t>
            </w:r>
          </w:p>
        </w:tc>
      </w:tr>
      <w:tr w14:paraId="1681F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8" w:hRule="atLeast"/>
          <w:jc w:val="center"/>
        </w:trPr>
        <w:tc>
          <w:tcPr>
            <w:tcW w:w="1112" w:type="dxa"/>
            <w:vMerge w:val="continue"/>
            <w:vAlign w:val="center"/>
          </w:tcPr>
          <w:p w14:paraId="39D5A43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194" w:type="dxa"/>
            <w:vMerge w:val="continue"/>
            <w:vAlign w:val="center"/>
          </w:tcPr>
          <w:p w14:paraId="4BFF3E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779" w:type="dxa"/>
            <w:vAlign w:val="center"/>
          </w:tcPr>
          <w:p w14:paraId="36BEF5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预算执行率</w:t>
            </w:r>
          </w:p>
          <w:p w14:paraId="4282F7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lang w:val="en-US" w:eastAsia="zh-CN"/>
              </w:rPr>
              <w:t>（5分）</w:t>
            </w:r>
          </w:p>
        </w:tc>
        <w:tc>
          <w:tcPr>
            <w:tcW w:w="2999" w:type="dxa"/>
            <w:vAlign w:val="center"/>
          </w:tcPr>
          <w:p w14:paraId="3580BF17">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rPr>
              <w:t>项目预算资金的实际执行情况。</w:t>
            </w:r>
          </w:p>
        </w:tc>
        <w:tc>
          <w:tcPr>
            <w:tcW w:w="5695" w:type="dxa"/>
            <w:vAlign w:val="center"/>
          </w:tcPr>
          <w:p w14:paraId="11E87A29">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rPr>
              <w:t>预算执行率=实际支出数/预算数×100</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，预算执行率100</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得满分，每降低或超过1</w:t>
            </w:r>
            <w:r>
              <w:rPr>
                <w:rFonts w:hint="default" w:ascii="Times New Roman" w:hAnsi="Times New Roman" w:eastAsia="仿宋" w:cs="Times New Roman"/>
                <w:color w:val="auto"/>
                <w:sz w:val="21"/>
                <w:szCs w:val="21"/>
              </w:rPr>
              <w:drawing>
                <wp:inline distT="0" distB="0" distL="114300" distR="114300">
                  <wp:extent cx="59690" cy="104140"/>
                  <wp:effectExtent l="0" t="0" r="16510" b="10160"/>
                  <wp:docPr id="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2"/>
                          <pic:cNvPicPr>
                            <a:picLocks noChangeAspect="1"/>
                          </pic:cNvPicPr>
                        </pic:nvPicPr>
                        <pic:blipFill>
                          <a:blip r:embed="rId9"/>
                          <a:stretch>
                            <a:fillRect/>
                          </a:stretch>
                        </pic:blipFill>
                        <pic:spPr>
                          <a:xfrm>
                            <a:off x="0" y="0"/>
                            <a:ext cx="59690" cy="104140"/>
                          </a:xfrm>
                          <a:prstGeom prst="rect">
                            <a:avLst/>
                          </a:prstGeom>
                          <a:noFill/>
                          <a:ln>
                            <a:noFill/>
                          </a:ln>
                        </pic:spPr>
                      </pic:pic>
                    </a:graphicData>
                  </a:graphic>
                </wp:inline>
              </w:drawing>
            </w:r>
            <w:r>
              <w:rPr>
                <w:rFonts w:hint="default" w:ascii="Times New Roman" w:hAnsi="Times New Roman" w:eastAsia="仿宋" w:cs="Times New Roman"/>
                <w:color w:val="auto"/>
                <w:sz w:val="21"/>
                <w:szCs w:val="21"/>
              </w:rPr>
              <w:t>扣0.02分，</w:t>
            </w:r>
            <w:r>
              <w:rPr>
                <w:rFonts w:hint="eastAsia" w:cs="Times New Roman"/>
                <w:color w:val="auto"/>
                <w:sz w:val="21"/>
                <w:szCs w:val="21"/>
                <w:lang w:eastAsia="zh-CN"/>
              </w:rPr>
              <w:t>不足</w:t>
            </w:r>
            <w:r>
              <w:rPr>
                <w:rFonts w:hint="eastAsia" w:cs="Times New Roman"/>
                <w:color w:val="auto"/>
                <w:sz w:val="21"/>
                <w:szCs w:val="21"/>
                <w:lang w:val="en-US" w:eastAsia="zh-CN"/>
              </w:rPr>
              <w:t>1%按1%算，</w:t>
            </w:r>
            <w:r>
              <w:rPr>
                <w:rFonts w:hint="default" w:ascii="Times New Roman" w:hAnsi="Times New Roman" w:eastAsia="仿宋" w:cs="Times New Roman"/>
                <w:color w:val="auto"/>
                <w:sz w:val="21"/>
                <w:szCs w:val="21"/>
              </w:rPr>
              <w:t>扣完为止。</w:t>
            </w:r>
          </w:p>
        </w:tc>
        <w:tc>
          <w:tcPr>
            <w:tcW w:w="1567" w:type="dxa"/>
            <w:vAlign w:val="center"/>
          </w:tcPr>
          <w:p w14:paraId="2F03561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cs="Times New Roman"/>
                <w:color w:val="auto"/>
                <w:sz w:val="21"/>
                <w:szCs w:val="21"/>
                <w:highlight w:val="none"/>
                <w:lang w:val="en-US" w:eastAsia="zh-CN"/>
              </w:rPr>
              <w:t>4.98</w:t>
            </w:r>
          </w:p>
        </w:tc>
      </w:tr>
      <w:tr w14:paraId="24199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jc w:val="center"/>
        </w:trPr>
        <w:tc>
          <w:tcPr>
            <w:tcW w:w="1112" w:type="dxa"/>
            <w:vMerge w:val="continue"/>
            <w:vAlign w:val="center"/>
          </w:tcPr>
          <w:p w14:paraId="400FB8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194" w:type="dxa"/>
            <w:vMerge w:val="continue"/>
            <w:vAlign w:val="center"/>
          </w:tcPr>
          <w:p w14:paraId="50FB9B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779" w:type="dxa"/>
            <w:vAlign w:val="center"/>
          </w:tcPr>
          <w:p w14:paraId="2159E7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资金使用合规性</w:t>
            </w:r>
          </w:p>
          <w:p w14:paraId="16B62D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（4分）</w:t>
            </w:r>
          </w:p>
        </w:tc>
        <w:tc>
          <w:tcPr>
            <w:tcW w:w="2999" w:type="dxa"/>
            <w:vAlign w:val="center"/>
          </w:tcPr>
          <w:p w14:paraId="4C26797C">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项目资金使用是否符合相关的财务管理制度规定，用以反映和考核项目资金的规范运行情况。</w:t>
            </w:r>
          </w:p>
        </w:tc>
        <w:tc>
          <w:tcPr>
            <w:tcW w:w="5695" w:type="dxa"/>
            <w:vAlign w:val="center"/>
          </w:tcPr>
          <w:p w14:paraId="500B7130">
            <w:pPr>
              <w:keepNext w:val="0"/>
              <w:keepLines w:val="0"/>
              <w:pageBreakBefore w:val="0"/>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b w:val="0"/>
                <w:bCs w:val="0"/>
                <w:color w:val="auto"/>
                <w:kern w:val="0"/>
                <w:sz w:val="21"/>
                <w:szCs w:val="21"/>
                <w:lang w:val="en-US" w:eastAsia="zh-CN"/>
              </w:rPr>
              <w:t>①符合国家财经法规和财务管理制度以及有关专项资金管理办法的规定0～1.0分；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②资金的拨付有完整的审批程序和手续，0～1.0分；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③符合项目预算批复或合同规定的用途，0～1.0分；</w:t>
            </w:r>
            <w:r>
              <w:rPr>
                <w:rFonts w:hint="default" w:ascii="Times New Roman" w:hAnsi="Times New Roman" w:eastAsia="仿宋" w:cs="Times New Roman"/>
                <w:b w:val="0"/>
                <w:bCs w:val="0"/>
                <w:color w:val="auto"/>
                <w:kern w:val="0"/>
                <w:sz w:val="21"/>
                <w:szCs w:val="21"/>
                <w:lang w:val="en-US" w:eastAsia="zh-CN"/>
              </w:rPr>
              <w:br w:type="textWrapping"/>
            </w:r>
            <w:r>
              <w:rPr>
                <w:rFonts w:hint="default" w:ascii="Times New Roman" w:hAnsi="Times New Roman" w:eastAsia="仿宋" w:cs="Times New Roman"/>
                <w:b w:val="0"/>
                <w:bCs w:val="0"/>
                <w:color w:val="auto"/>
                <w:kern w:val="0"/>
                <w:sz w:val="21"/>
                <w:szCs w:val="21"/>
                <w:lang w:val="en-US" w:eastAsia="zh-CN"/>
              </w:rPr>
              <w:t>④是否存在截留、挤占、挪用、虚列支出等情况评分，全部不存在得1.0分，存在其中任何一项得0分。</w:t>
            </w:r>
          </w:p>
        </w:tc>
        <w:tc>
          <w:tcPr>
            <w:tcW w:w="1567" w:type="dxa"/>
            <w:vAlign w:val="center"/>
          </w:tcPr>
          <w:p w14:paraId="4FB8353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4</w:t>
            </w:r>
          </w:p>
        </w:tc>
      </w:tr>
      <w:tr w14:paraId="0A03B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7507D0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194" w:type="dxa"/>
            <w:vMerge w:val="restart"/>
            <w:vAlign w:val="center"/>
          </w:tcPr>
          <w:p w14:paraId="55EF5D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组织</w:t>
            </w:r>
          </w:p>
          <w:p w14:paraId="4AA1CB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实施</w:t>
            </w:r>
          </w:p>
          <w:p w14:paraId="0FAA42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（6分）</w:t>
            </w:r>
          </w:p>
        </w:tc>
        <w:tc>
          <w:tcPr>
            <w:tcW w:w="1779" w:type="dxa"/>
            <w:vAlign w:val="center"/>
          </w:tcPr>
          <w:p w14:paraId="559BB5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管理制度健全性</w:t>
            </w:r>
          </w:p>
          <w:p w14:paraId="5FAF22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（3分）</w:t>
            </w:r>
          </w:p>
        </w:tc>
        <w:tc>
          <w:tcPr>
            <w:tcW w:w="2999" w:type="dxa"/>
            <w:vAlign w:val="center"/>
          </w:tcPr>
          <w:p w14:paraId="1B748A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项目单位的财务管理制度、业务管理制度是否健全，用以反映和考核管理制度对项目顺利实施的保障情况。</w:t>
            </w:r>
          </w:p>
        </w:tc>
        <w:tc>
          <w:tcPr>
            <w:tcW w:w="5695" w:type="dxa"/>
            <w:vAlign w:val="center"/>
          </w:tcPr>
          <w:p w14:paraId="02E65E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①已制定或具有相应的财务和业务管理制度；</w:t>
            </w:r>
            <w:r>
              <w:rPr>
                <w:rFonts w:hint="default" w:ascii="Times New Roman" w:hAnsi="Times New Roman" w:eastAsia="仿宋" w:cs="Times New Roman"/>
                <w:b w:val="0"/>
                <w:bCs w:val="0"/>
                <w:color w:val="auto"/>
                <w:kern w:val="0"/>
                <w:sz w:val="21"/>
                <w:szCs w:val="21"/>
                <w:lang w:val="en-US" w:eastAsia="zh-CN"/>
              </w:rPr>
              <w:t>0～1.5分；</w:t>
            </w:r>
          </w:p>
          <w:p w14:paraId="271E4613">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②财务和业务管理制度合法、合规、完整。</w:t>
            </w:r>
            <w:r>
              <w:rPr>
                <w:rFonts w:hint="default" w:ascii="Times New Roman" w:hAnsi="Times New Roman" w:eastAsia="仿宋" w:cs="Times New Roman"/>
                <w:b w:val="0"/>
                <w:bCs w:val="0"/>
                <w:color w:val="auto"/>
                <w:kern w:val="0"/>
                <w:sz w:val="21"/>
                <w:szCs w:val="21"/>
                <w:lang w:val="en-US" w:eastAsia="zh-CN"/>
              </w:rPr>
              <w:t>0～1.5分。</w:t>
            </w:r>
          </w:p>
        </w:tc>
        <w:tc>
          <w:tcPr>
            <w:tcW w:w="1567" w:type="dxa"/>
            <w:vAlign w:val="center"/>
          </w:tcPr>
          <w:p w14:paraId="12165B9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3</w:t>
            </w:r>
          </w:p>
        </w:tc>
      </w:tr>
      <w:tr w14:paraId="1CF88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jc w:val="center"/>
        </w:trPr>
        <w:tc>
          <w:tcPr>
            <w:tcW w:w="1112" w:type="dxa"/>
            <w:vMerge w:val="continue"/>
            <w:vAlign w:val="center"/>
          </w:tcPr>
          <w:p w14:paraId="589778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194" w:type="dxa"/>
            <w:vMerge w:val="continue"/>
            <w:vAlign w:val="center"/>
          </w:tcPr>
          <w:p w14:paraId="00DC46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779" w:type="dxa"/>
            <w:vAlign w:val="center"/>
          </w:tcPr>
          <w:p w14:paraId="3CEBC7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制度执行有效性</w:t>
            </w:r>
          </w:p>
          <w:p w14:paraId="61C592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（3分）</w:t>
            </w:r>
          </w:p>
        </w:tc>
        <w:tc>
          <w:tcPr>
            <w:tcW w:w="2999" w:type="dxa"/>
            <w:vAlign w:val="center"/>
          </w:tcPr>
          <w:p w14:paraId="5D6F35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eastAsia="zh-CN"/>
              </w:rPr>
            </w:pPr>
          </w:p>
          <w:p w14:paraId="541AB1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val="0"/>
                <w:bCs w:val="0"/>
                <w:color w:val="auto"/>
                <w:kern w:val="0"/>
                <w:sz w:val="21"/>
                <w:szCs w:val="21"/>
                <w:lang w:val="en-US" w:eastAsia="zh-CN"/>
              </w:rPr>
              <w:t>项目实施是否符合相关管理规定，用以反映和考核相关管理制度的有效执行情况。</w:t>
            </w:r>
          </w:p>
        </w:tc>
        <w:tc>
          <w:tcPr>
            <w:tcW w:w="5695" w:type="dxa"/>
            <w:vAlign w:val="center"/>
          </w:tcPr>
          <w:p w14:paraId="3C21A36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①遵守相关法律法规和相关管理规定，0～1.0分；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②项目调整及支出调整手续完备，0～1.0分；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③项目合同书、验收报告、技术鉴定等资料齐全并及时归档，0～1.0分；</w:t>
            </w:r>
          </w:p>
        </w:tc>
        <w:tc>
          <w:tcPr>
            <w:tcW w:w="1567" w:type="dxa"/>
            <w:vAlign w:val="center"/>
          </w:tcPr>
          <w:p w14:paraId="77DD523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3</w:t>
            </w:r>
          </w:p>
        </w:tc>
      </w:tr>
      <w:tr w14:paraId="3D56CC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restart"/>
            <w:vAlign w:val="center"/>
          </w:tcPr>
          <w:p w14:paraId="0BA496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71B5E01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（30分）</w:t>
            </w:r>
          </w:p>
        </w:tc>
        <w:tc>
          <w:tcPr>
            <w:tcW w:w="1194" w:type="dxa"/>
            <w:vMerge w:val="restart"/>
            <w:vAlign w:val="center"/>
          </w:tcPr>
          <w:p w14:paraId="53029F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57C2EA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数量</w:t>
            </w:r>
          </w:p>
          <w:p w14:paraId="4D423F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9</w:t>
            </w:r>
            <w:r>
              <w:rPr>
                <w:rFonts w:hint="default" w:ascii="Times New Roman" w:hAnsi="Times New Roman" w:eastAsia="仿宋" w:cs="Times New Roman"/>
                <w:color w:val="auto"/>
                <w:sz w:val="21"/>
                <w:szCs w:val="21"/>
                <w:highlight w:val="none"/>
                <w:lang w:val="en-US" w:eastAsia="zh-CN"/>
              </w:rPr>
              <w:t>分）</w:t>
            </w:r>
          </w:p>
        </w:tc>
        <w:tc>
          <w:tcPr>
            <w:tcW w:w="1779" w:type="dxa"/>
            <w:shd w:val="clear" w:color="000000" w:fill="FFFFFF"/>
            <w:vAlign w:val="center"/>
          </w:tcPr>
          <w:p w14:paraId="654946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案件受理数</w:t>
            </w:r>
          </w:p>
          <w:p w14:paraId="0CA4E7D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2</w:t>
            </w:r>
            <w:r>
              <w:rPr>
                <w:rFonts w:hint="default" w:ascii="Times New Roman" w:hAnsi="Times New Roman" w:eastAsia="仿宋" w:cs="Times New Roman"/>
                <w:color w:val="auto"/>
                <w:sz w:val="21"/>
                <w:szCs w:val="21"/>
                <w:highlight w:val="none"/>
                <w:lang w:val="en-US" w:eastAsia="zh-CN"/>
              </w:rPr>
              <w:t>分）</w:t>
            </w:r>
          </w:p>
        </w:tc>
        <w:tc>
          <w:tcPr>
            <w:tcW w:w="2999" w:type="dxa"/>
            <w:shd w:val="clear" w:color="000000" w:fill="FFFFFF"/>
            <w:vAlign w:val="center"/>
          </w:tcPr>
          <w:p w14:paraId="68D2BAA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实际受理案件数是否达到目标值，用以反映和考核受理案件数完成情况。</w:t>
            </w:r>
          </w:p>
        </w:tc>
        <w:tc>
          <w:tcPr>
            <w:tcW w:w="5695" w:type="dxa"/>
            <w:shd w:val="clear" w:color="000000" w:fill="FFFFFF"/>
            <w:vAlign w:val="center"/>
          </w:tcPr>
          <w:p w14:paraId="5B20CFA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案件受理数</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2.</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，次数未达到目标值按比例扣减分值。</w:t>
            </w:r>
          </w:p>
        </w:tc>
        <w:tc>
          <w:tcPr>
            <w:tcW w:w="1567" w:type="dxa"/>
            <w:shd w:val="clear" w:color="000000" w:fill="FFFFFF"/>
            <w:vAlign w:val="center"/>
          </w:tcPr>
          <w:p w14:paraId="1E37E5C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eastAsia"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2</w:t>
            </w:r>
          </w:p>
        </w:tc>
      </w:tr>
      <w:tr w14:paraId="1BE13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73CE81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1187DB9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436ABB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公开听证次数</w:t>
            </w:r>
          </w:p>
          <w:p w14:paraId="2D7031F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分）</w:t>
            </w:r>
          </w:p>
        </w:tc>
        <w:tc>
          <w:tcPr>
            <w:tcW w:w="2999" w:type="dxa"/>
            <w:shd w:val="clear" w:color="000000" w:fill="FFFFFF"/>
            <w:vAlign w:val="center"/>
          </w:tcPr>
          <w:p w14:paraId="3B1C9FF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公开听证次数</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公开听证次数</w:t>
            </w:r>
            <w:r>
              <w:rPr>
                <w:rFonts w:hint="default" w:ascii="Times New Roman" w:hAnsi="Times New Roman" w:eastAsia="仿宋" w:cs="Times New Roman"/>
                <w:color w:val="auto"/>
                <w:sz w:val="21"/>
                <w:szCs w:val="21"/>
                <w:highlight w:val="none"/>
                <w:lang w:val="en-US" w:eastAsia="zh-CN"/>
              </w:rPr>
              <w:t>完成情况。</w:t>
            </w:r>
          </w:p>
        </w:tc>
        <w:tc>
          <w:tcPr>
            <w:tcW w:w="5695" w:type="dxa"/>
            <w:shd w:val="clear" w:color="000000" w:fill="FFFFFF"/>
            <w:vAlign w:val="center"/>
          </w:tcPr>
          <w:p w14:paraId="3A210FC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公开听证次数</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，次数未达到目标值按比例扣减分值。</w:t>
            </w:r>
          </w:p>
        </w:tc>
        <w:tc>
          <w:tcPr>
            <w:tcW w:w="1567" w:type="dxa"/>
            <w:shd w:val="clear" w:color="000000" w:fill="FFFFFF"/>
            <w:vAlign w:val="center"/>
          </w:tcPr>
          <w:p w14:paraId="28320C2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eastAsia"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14DBA2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67AE58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1518FC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57853A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出差人次</w:t>
            </w:r>
            <w:r>
              <w:rPr>
                <w:rFonts w:hint="eastAsia" w:eastAsia="仿宋" w:cs="Times New Roman"/>
                <w:color w:val="auto"/>
                <w:sz w:val="21"/>
                <w:szCs w:val="21"/>
                <w:highlight w:val="none"/>
                <w:lang w:val="en-US" w:eastAsia="zh-CN"/>
              </w:rPr>
              <w:t>（1分）</w:t>
            </w:r>
          </w:p>
        </w:tc>
        <w:tc>
          <w:tcPr>
            <w:tcW w:w="2999" w:type="dxa"/>
            <w:shd w:val="clear" w:color="000000" w:fill="FFFFFF"/>
            <w:vAlign w:val="center"/>
          </w:tcPr>
          <w:p w14:paraId="286000D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出差人次</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出差人次</w:t>
            </w:r>
            <w:r>
              <w:rPr>
                <w:rFonts w:hint="default" w:ascii="Times New Roman" w:hAnsi="Times New Roman" w:eastAsia="仿宋" w:cs="Times New Roman"/>
                <w:color w:val="auto"/>
                <w:sz w:val="21"/>
                <w:szCs w:val="21"/>
                <w:highlight w:val="none"/>
                <w:lang w:val="en-US" w:eastAsia="zh-CN"/>
              </w:rPr>
              <w:t>情况。</w:t>
            </w:r>
          </w:p>
        </w:tc>
        <w:tc>
          <w:tcPr>
            <w:tcW w:w="5695" w:type="dxa"/>
            <w:shd w:val="clear" w:color="000000" w:fill="FFFFFF"/>
            <w:vAlign w:val="center"/>
          </w:tcPr>
          <w:p w14:paraId="3BB2E48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出差人次</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，人次未达到目标值按比例扣减分值。</w:t>
            </w:r>
          </w:p>
        </w:tc>
        <w:tc>
          <w:tcPr>
            <w:tcW w:w="1567" w:type="dxa"/>
            <w:shd w:val="clear" w:color="000000" w:fill="FFFFFF"/>
            <w:vAlign w:val="center"/>
          </w:tcPr>
          <w:p w14:paraId="2E739FF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0AA3C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7F566E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39D473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019E0D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物业保障面积</w:t>
            </w:r>
          </w:p>
          <w:p w14:paraId="697EB0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分）</w:t>
            </w:r>
          </w:p>
        </w:tc>
        <w:tc>
          <w:tcPr>
            <w:tcW w:w="2999" w:type="dxa"/>
            <w:shd w:val="clear" w:color="000000" w:fill="FFFFFF"/>
            <w:vAlign w:val="center"/>
          </w:tcPr>
          <w:p w14:paraId="118253D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物业保障面积</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w:t>
            </w:r>
            <w:r>
              <w:rPr>
                <w:rFonts w:hint="default" w:ascii="Times New Roman" w:hAnsi="Times New Roman" w:eastAsia="仿宋" w:cs="Times New Roman"/>
                <w:color w:val="auto"/>
                <w:sz w:val="21"/>
                <w:szCs w:val="21"/>
                <w:highlight w:val="none"/>
                <w:lang w:val="en-US" w:eastAsia="zh-CN"/>
              </w:rPr>
              <w:t>情况。</w:t>
            </w:r>
          </w:p>
        </w:tc>
        <w:tc>
          <w:tcPr>
            <w:tcW w:w="5695" w:type="dxa"/>
            <w:shd w:val="clear" w:color="000000" w:fill="FFFFFF"/>
            <w:vAlign w:val="center"/>
          </w:tcPr>
          <w:p w14:paraId="2A418EF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物业保障面积</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，面积未达到目标值按比例扣减分值</w:t>
            </w:r>
          </w:p>
        </w:tc>
        <w:tc>
          <w:tcPr>
            <w:tcW w:w="1567" w:type="dxa"/>
            <w:shd w:val="clear" w:color="000000" w:fill="FFFFFF"/>
            <w:vAlign w:val="center"/>
          </w:tcPr>
          <w:p w14:paraId="393BBF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4F0B4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4874C5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6D0A4C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69C139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办公楼维修次数</w:t>
            </w:r>
            <w:r>
              <w:rPr>
                <w:rFonts w:hint="eastAsia" w:ascii="仿宋" w:hAnsi="仿宋" w:eastAsia="仿宋" w:cs="仿宋"/>
                <w:color w:val="auto"/>
                <w:sz w:val="21"/>
                <w:szCs w:val="21"/>
                <w:lang w:val="en-US" w:eastAsia="zh-CN"/>
              </w:rPr>
              <w:t>（1分）</w:t>
            </w:r>
          </w:p>
        </w:tc>
        <w:tc>
          <w:tcPr>
            <w:tcW w:w="2999" w:type="dxa"/>
            <w:shd w:val="clear" w:color="000000" w:fill="FFFFFF"/>
            <w:vAlign w:val="center"/>
          </w:tcPr>
          <w:p w14:paraId="1BE9C8F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办公楼维修次数</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办公楼维修次数完成</w:t>
            </w:r>
            <w:r>
              <w:rPr>
                <w:rFonts w:hint="default" w:ascii="Times New Roman" w:hAnsi="Times New Roman" w:eastAsia="仿宋" w:cs="Times New Roman"/>
                <w:color w:val="auto"/>
                <w:sz w:val="21"/>
                <w:szCs w:val="21"/>
                <w:highlight w:val="none"/>
                <w:lang w:val="en-US" w:eastAsia="zh-CN"/>
              </w:rPr>
              <w:t>情况。</w:t>
            </w:r>
          </w:p>
        </w:tc>
        <w:tc>
          <w:tcPr>
            <w:tcW w:w="5695" w:type="dxa"/>
            <w:shd w:val="clear" w:color="000000" w:fill="FFFFFF"/>
            <w:vAlign w:val="center"/>
          </w:tcPr>
          <w:p w14:paraId="5D122A1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办公楼维修次数</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，次数未达到目标值按比例扣减分值</w:t>
            </w:r>
          </w:p>
        </w:tc>
        <w:tc>
          <w:tcPr>
            <w:tcW w:w="1567" w:type="dxa"/>
            <w:shd w:val="clear" w:color="000000" w:fill="FFFFFF"/>
            <w:vAlign w:val="center"/>
          </w:tcPr>
          <w:p w14:paraId="78D2324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0FDB5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1AA00A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7C3029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437647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印刷材料批次</w:t>
            </w:r>
          </w:p>
          <w:p w14:paraId="6CDC13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分）</w:t>
            </w:r>
          </w:p>
        </w:tc>
        <w:tc>
          <w:tcPr>
            <w:tcW w:w="2999" w:type="dxa"/>
            <w:shd w:val="clear" w:color="000000" w:fill="FFFFFF"/>
            <w:vAlign w:val="center"/>
          </w:tcPr>
          <w:p w14:paraId="0062A4A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印刷材料批次</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印刷材料批次</w:t>
            </w:r>
            <w:r>
              <w:rPr>
                <w:rFonts w:hint="default" w:ascii="Times New Roman" w:hAnsi="Times New Roman" w:eastAsia="仿宋" w:cs="Times New Roman"/>
                <w:color w:val="auto"/>
                <w:sz w:val="21"/>
                <w:szCs w:val="21"/>
                <w:highlight w:val="none"/>
                <w:lang w:val="en-US" w:eastAsia="zh-CN"/>
              </w:rPr>
              <w:t>情况。</w:t>
            </w:r>
          </w:p>
        </w:tc>
        <w:tc>
          <w:tcPr>
            <w:tcW w:w="5695" w:type="dxa"/>
            <w:shd w:val="clear" w:color="000000" w:fill="FFFFFF"/>
            <w:vAlign w:val="center"/>
          </w:tcPr>
          <w:p w14:paraId="72B03B5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印刷材料批次</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，批次未达到目标值按比例扣减分值</w:t>
            </w:r>
          </w:p>
        </w:tc>
        <w:tc>
          <w:tcPr>
            <w:tcW w:w="1567" w:type="dxa"/>
            <w:shd w:val="clear" w:color="000000" w:fill="FFFFFF"/>
            <w:vAlign w:val="center"/>
          </w:tcPr>
          <w:p w14:paraId="49DAEA6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741F87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570B93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38F555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2AC7EA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缴纳电话费次数（1分）</w:t>
            </w:r>
          </w:p>
        </w:tc>
        <w:tc>
          <w:tcPr>
            <w:tcW w:w="2999" w:type="dxa"/>
            <w:shd w:val="clear" w:color="000000" w:fill="FFFFFF"/>
            <w:vAlign w:val="center"/>
          </w:tcPr>
          <w:p w14:paraId="2E2CC4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缴纳电话费次数</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缴纳电话费次数完成</w:t>
            </w:r>
            <w:r>
              <w:rPr>
                <w:rFonts w:hint="default" w:ascii="Times New Roman" w:hAnsi="Times New Roman" w:eastAsia="仿宋" w:cs="Times New Roman"/>
                <w:color w:val="auto"/>
                <w:sz w:val="21"/>
                <w:szCs w:val="21"/>
                <w:highlight w:val="none"/>
                <w:lang w:val="en-US" w:eastAsia="zh-CN"/>
              </w:rPr>
              <w:t>情况。</w:t>
            </w:r>
          </w:p>
        </w:tc>
        <w:tc>
          <w:tcPr>
            <w:tcW w:w="5695" w:type="dxa"/>
            <w:shd w:val="clear" w:color="000000" w:fill="FFFFFF"/>
            <w:vAlign w:val="center"/>
          </w:tcPr>
          <w:p w14:paraId="36BF6B1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缴纳电话费次数</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，次数未达到目标值按比例扣减分值</w:t>
            </w:r>
          </w:p>
        </w:tc>
        <w:tc>
          <w:tcPr>
            <w:tcW w:w="1567" w:type="dxa"/>
            <w:shd w:val="clear" w:color="000000" w:fill="FFFFFF"/>
            <w:vAlign w:val="center"/>
          </w:tcPr>
          <w:p w14:paraId="705F3B0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5D2EA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179CAF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66C3EF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3454CC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购置设备批次</w:t>
            </w:r>
          </w:p>
          <w:p w14:paraId="4A2C69A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（1分）</w:t>
            </w:r>
          </w:p>
        </w:tc>
        <w:tc>
          <w:tcPr>
            <w:tcW w:w="2999" w:type="dxa"/>
            <w:shd w:val="clear" w:color="000000" w:fill="FFFFFF"/>
            <w:vAlign w:val="center"/>
          </w:tcPr>
          <w:p w14:paraId="5B06DF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购置设备批次</w:t>
            </w:r>
            <w:r>
              <w:rPr>
                <w:rFonts w:hint="eastAsia" w:eastAsia="仿宋" w:cs="Times New Roman"/>
                <w:color w:val="auto"/>
                <w:sz w:val="21"/>
                <w:szCs w:val="21"/>
                <w:highlight w:val="none"/>
                <w:lang w:val="en-US" w:eastAsia="zh-CN"/>
              </w:rPr>
              <w:t>是否达到目标值，</w:t>
            </w:r>
            <w:r>
              <w:rPr>
                <w:rFonts w:hint="default" w:ascii="Times New Roman" w:hAnsi="Times New Roman" w:eastAsia="仿宋" w:cs="Times New Roman"/>
                <w:color w:val="auto"/>
                <w:sz w:val="21"/>
                <w:szCs w:val="21"/>
                <w:highlight w:val="none"/>
                <w:lang w:val="en-US" w:eastAsia="zh-CN"/>
              </w:rPr>
              <w:t>用以反映和考核</w:t>
            </w:r>
            <w:r>
              <w:rPr>
                <w:rFonts w:hint="eastAsia" w:ascii="仿宋" w:hAnsi="仿宋" w:eastAsia="仿宋" w:cs="仿宋"/>
                <w:color w:val="000000" w:themeColor="text1"/>
                <w:kern w:val="0"/>
                <w:sz w:val="21"/>
                <w:szCs w:val="21"/>
                <w:lang w:val="en-US" w:eastAsia="zh-CN" w:bidi="ar"/>
                <w14:textFill>
                  <w14:solidFill>
                    <w14:schemeClr w14:val="tx1"/>
                  </w14:solidFill>
                </w14:textFill>
              </w:rPr>
              <w:t>购置设备批次</w:t>
            </w:r>
            <w:r>
              <w:rPr>
                <w:rFonts w:hint="default" w:ascii="Times New Roman" w:hAnsi="Times New Roman" w:eastAsia="仿宋" w:cs="Times New Roman"/>
                <w:color w:val="auto"/>
                <w:sz w:val="21"/>
                <w:szCs w:val="21"/>
                <w:highlight w:val="none"/>
                <w:lang w:val="en-US" w:eastAsia="zh-CN"/>
              </w:rPr>
              <w:t>完成情况。</w:t>
            </w:r>
          </w:p>
        </w:tc>
        <w:tc>
          <w:tcPr>
            <w:tcW w:w="5695" w:type="dxa"/>
            <w:shd w:val="clear" w:color="000000" w:fill="FFFFFF"/>
            <w:vAlign w:val="center"/>
          </w:tcPr>
          <w:p w14:paraId="74C8946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购置设备批次</w:t>
            </w:r>
            <w:r>
              <w:rPr>
                <w:rFonts w:hint="eastAsia" w:ascii="Times New Roman" w:hAnsi="Times New Roman" w:eastAsia="仿宋" w:cs="Times New Roman"/>
                <w:color w:val="auto"/>
                <w:sz w:val="21"/>
                <w:szCs w:val="21"/>
                <w:highlight w:val="none"/>
                <w:lang w:val="en-US" w:eastAsia="zh-CN"/>
              </w:rPr>
              <w:t>达到目标值</w:t>
            </w:r>
            <w:r>
              <w:rPr>
                <w:rFonts w:hint="default" w:ascii="Times New Roman" w:hAnsi="Times New Roman" w:eastAsia="仿宋" w:cs="Times New Roman"/>
                <w:color w:val="auto"/>
                <w:sz w:val="21"/>
                <w:szCs w:val="21"/>
                <w:highlight w:val="none"/>
                <w:lang w:val="en-US" w:eastAsia="zh-CN"/>
              </w:rPr>
              <w:t>，得</w:t>
            </w:r>
            <w:r>
              <w:rPr>
                <w:rFonts w:hint="eastAsia" w:eastAsia="仿宋" w:cs="Times New Roman"/>
                <w:color w:val="auto"/>
                <w:sz w:val="21"/>
                <w:szCs w:val="21"/>
                <w:highlight w:val="none"/>
                <w:lang w:val="en-US" w:eastAsia="zh-CN"/>
              </w:rPr>
              <w:t>1</w:t>
            </w:r>
            <w:r>
              <w:rPr>
                <w:rFonts w:hint="default" w:ascii="Times New Roman" w:hAnsi="Times New Roman" w:eastAsia="仿宋" w:cs="Times New Roman"/>
                <w:color w:val="auto"/>
                <w:sz w:val="21"/>
                <w:szCs w:val="21"/>
                <w:highlight w:val="none"/>
                <w:lang w:val="en-US" w:eastAsia="zh-CN"/>
              </w:rPr>
              <w:t>.0分</w:t>
            </w:r>
            <w:r>
              <w:rPr>
                <w:rFonts w:hint="eastAsia"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批次</w:t>
            </w:r>
            <w:r>
              <w:rPr>
                <w:rFonts w:hint="eastAsia" w:ascii="Times New Roman" w:hAnsi="Times New Roman" w:eastAsia="仿宋" w:cs="Times New Roman"/>
                <w:color w:val="auto"/>
                <w:sz w:val="21"/>
                <w:szCs w:val="21"/>
                <w:highlight w:val="none"/>
                <w:lang w:val="en-US" w:eastAsia="zh-CN"/>
              </w:rPr>
              <w:t>未达到目标值按比例扣减分值</w:t>
            </w:r>
          </w:p>
        </w:tc>
        <w:tc>
          <w:tcPr>
            <w:tcW w:w="1567" w:type="dxa"/>
            <w:shd w:val="clear" w:color="000000" w:fill="FFFFFF"/>
            <w:vAlign w:val="center"/>
          </w:tcPr>
          <w:p w14:paraId="24AFF40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60BFE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486CCF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restart"/>
            <w:vAlign w:val="center"/>
          </w:tcPr>
          <w:p w14:paraId="7A85E4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1F74F8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质量</w:t>
            </w:r>
          </w:p>
          <w:p w14:paraId="139DD3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9</w:t>
            </w:r>
            <w:r>
              <w:rPr>
                <w:rFonts w:hint="default" w:ascii="Times New Roman" w:hAnsi="Times New Roman" w:eastAsia="仿宋" w:cs="Times New Roman"/>
                <w:color w:val="auto"/>
                <w:sz w:val="21"/>
                <w:szCs w:val="21"/>
                <w:highlight w:val="none"/>
                <w:lang w:val="en-US" w:eastAsia="zh-CN"/>
              </w:rPr>
              <w:t>分）</w:t>
            </w:r>
          </w:p>
          <w:p w14:paraId="3C4178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7E4751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审判监督案件完成率（3分）</w:t>
            </w:r>
          </w:p>
        </w:tc>
        <w:tc>
          <w:tcPr>
            <w:tcW w:w="2999" w:type="dxa"/>
            <w:shd w:val="clear" w:color="000000" w:fill="FFFFFF"/>
            <w:vAlign w:val="center"/>
          </w:tcPr>
          <w:p w14:paraId="24FF33A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审判监督案件完成率，考核审判监督案件是否达到目标值，考核审判监督案件的完成情况。</w:t>
            </w:r>
          </w:p>
        </w:tc>
        <w:tc>
          <w:tcPr>
            <w:tcW w:w="5695" w:type="dxa"/>
            <w:shd w:val="clear" w:color="000000" w:fill="FFFFFF"/>
            <w:vAlign w:val="center"/>
          </w:tcPr>
          <w:p w14:paraId="707A04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审判监督案件完成率</w:t>
            </w:r>
            <w:r>
              <w:rPr>
                <w:rFonts w:hint="eastAsia" w:ascii="Times New Roman" w:hAnsi="Times New Roman" w:eastAsia="仿宋" w:cs="Times New Roman"/>
                <w:color w:val="auto"/>
                <w:sz w:val="21"/>
                <w:szCs w:val="21"/>
                <w:highlight w:val="none"/>
                <w:lang w:val="en-US" w:eastAsia="zh-CN"/>
              </w:rPr>
              <w:t>（a）=</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已完成</w:t>
            </w:r>
            <w:r>
              <w:rPr>
                <w:rFonts w:hint="eastAsia" w:ascii="仿宋" w:hAnsi="仿宋" w:eastAsia="仿宋" w:cs="仿宋"/>
                <w:color w:val="000000" w:themeColor="text1"/>
                <w:kern w:val="0"/>
                <w:sz w:val="21"/>
                <w:szCs w:val="21"/>
                <w:lang w:val="en-US" w:eastAsia="zh-CN" w:bidi="ar"/>
                <w14:textFill>
                  <w14:solidFill>
                    <w14:schemeClr w14:val="tx1"/>
                  </w14:solidFill>
                </w14:textFill>
              </w:rPr>
              <w:t>审判监督案件数</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需要进行审判监督案件总数</w:t>
            </w:r>
            <w:r>
              <w:rPr>
                <w:rFonts w:hint="default" w:ascii="Times New Roman" w:hAnsi="Times New Roman" w:eastAsia="仿宋" w:cs="Times New Roman"/>
                <w:color w:val="auto"/>
                <w:sz w:val="21"/>
                <w:szCs w:val="21"/>
                <w:highlight w:val="none"/>
                <w:lang w:val="en-US" w:eastAsia="zh-CN"/>
              </w:rPr>
              <w:t>]×100%。</w:t>
            </w:r>
          </w:p>
          <w:p w14:paraId="2A8967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①a≥0，得</w:t>
            </w:r>
            <w:r>
              <w:rPr>
                <w:rFonts w:hint="eastAsia" w:eastAsia="仿宋" w:cs="Times New Roman"/>
                <w:color w:val="auto"/>
                <w:sz w:val="21"/>
                <w:szCs w:val="21"/>
                <w:highlight w:val="none"/>
                <w:lang w:val="en-US" w:eastAsia="zh-CN"/>
              </w:rPr>
              <w:t>3</w:t>
            </w:r>
            <w:r>
              <w:rPr>
                <w:rFonts w:hint="default" w:ascii="Times New Roman" w:hAnsi="Times New Roman" w:eastAsia="仿宋" w:cs="Times New Roman"/>
                <w:color w:val="auto"/>
                <w:sz w:val="21"/>
                <w:szCs w:val="21"/>
                <w:highlight w:val="none"/>
                <w:lang w:val="en-US" w:eastAsia="zh-CN"/>
              </w:rPr>
              <w:t>.0分；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②a＜0，</w:t>
            </w:r>
            <w:r>
              <w:rPr>
                <w:rFonts w:hint="eastAsia" w:ascii="Times New Roman" w:hAnsi="Times New Roman" w:eastAsia="仿宋" w:cs="Times New Roman"/>
                <w:color w:val="auto"/>
                <w:sz w:val="21"/>
                <w:szCs w:val="21"/>
                <w:highlight w:val="none"/>
                <w:lang w:val="en-US" w:eastAsia="zh-CN"/>
              </w:rPr>
              <w:t>按比例扣减分值</w:t>
            </w:r>
            <w:r>
              <w:rPr>
                <w:rFonts w:hint="default" w:ascii="Times New Roman" w:hAnsi="Times New Roman" w:eastAsia="仿宋" w:cs="Times New Roman"/>
                <w:color w:val="auto"/>
                <w:sz w:val="21"/>
                <w:szCs w:val="21"/>
                <w:highlight w:val="none"/>
                <w:lang w:val="en-US" w:eastAsia="zh-CN"/>
              </w:rPr>
              <w:t>。</w:t>
            </w:r>
          </w:p>
        </w:tc>
        <w:tc>
          <w:tcPr>
            <w:tcW w:w="1567" w:type="dxa"/>
            <w:shd w:val="clear" w:color="000000" w:fill="FFFFFF"/>
            <w:vAlign w:val="center"/>
          </w:tcPr>
          <w:p w14:paraId="68E6C25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eastAsia"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3</w:t>
            </w:r>
          </w:p>
        </w:tc>
      </w:tr>
      <w:tr w14:paraId="1B07A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678DA2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0A4A5A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2627C8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案件受理办理率（2分）</w:t>
            </w:r>
          </w:p>
        </w:tc>
        <w:tc>
          <w:tcPr>
            <w:tcW w:w="2999" w:type="dxa"/>
            <w:shd w:val="clear" w:color="000000" w:fill="FFFFFF"/>
            <w:vAlign w:val="center"/>
          </w:tcPr>
          <w:p w14:paraId="6BA3969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案件受理办理率，考核案件受理办理率是否达到目标值，考核案件受理办理率的完成情况。</w:t>
            </w:r>
          </w:p>
        </w:tc>
        <w:tc>
          <w:tcPr>
            <w:tcW w:w="5695" w:type="dxa"/>
            <w:shd w:val="clear" w:color="000000" w:fill="FFFFFF"/>
            <w:vAlign w:val="center"/>
          </w:tcPr>
          <w:p w14:paraId="204F93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案件受理办理率</w:t>
            </w:r>
            <w:r>
              <w:rPr>
                <w:rFonts w:hint="eastAsia" w:ascii="Times New Roman" w:hAnsi="Times New Roman" w:eastAsia="仿宋" w:cs="Times New Roman"/>
                <w:color w:val="auto"/>
                <w:sz w:val="21"/>
                <w:szCs w:val="21"/>
                <w:highlight w:val="none"/>
                <w:lang w:val="en-US" w:eastAsia="zh-CN"/>
              </w:rPr>
              <w:t>（a）=</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已受理办理案件数</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需办理受理案件总数</w:t>
            </w:r>
            <w:r>
              <w:rPr>
                <w:rFonts w:hint="default" w:ascii="Times New Roman" w:hAnsi="Times New Roman" w:eastAsia="仿宋" w:cs="Times New Roman"/>
                <w:color w:val="auto"/>
                <w:sz w:val="21"/>
                <w:szCs w:val="21"/>
                <w:highlight w:val="none"/>
                <w:lang w:val="en-US" w:eastAsia="zh-CN"/>
              </w:rPr>
              <w:t>]×100%。</w:t>
            </w:r>
          </w:p>
          <w:p w14:paraId="388A5E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①a≥0，得</w:t>
            </w:r>
            <w:r>
              <w:rPr>
                <w:rFonts w:hint="eastAsia" w:eastAsia="仿宋" w:cs="Times New Roman"/>
                <w:color w:val="auto"/>
                <w:sz w:val="21"/>
                <w:szCs w:val="21"/>
                <w:highlight w:val="none"/>
                <w:lang w:val="en-US" w:eastAsia="zh-CN"/>
              </w:rPr>
              <w:t>2</w:t>
            </w:r>
            <w:r>
              <w:rPr>
                <w:rFonts w:hint="default" w:ascii="Times New Roman" w:hAnsi="Times New Roman" w:eastAsia="仿宋" w:cs="Times New Roman"/>
                <w:color w:val="auto"/>
                <w:sz w:val="21"/>
                <w:szCs w:val="21"/>
                <w:highlight w:val="none"/>
                <w:lang w:val="en-US" w:eastAsia="zh-CN"/>
              </w:rPr>
              <w:t>.0分；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②a＜0，</w:t>
            </w:r>
            <w:r>
              <w:rPr>
                <w:rFonts w:hint="eastAsia" w:ascii="Times New Roman" w:hAnsi="Times New Roman" w:eastAsia="仿宋" w:cs="Times New Roman"/>
                <w:color w:val="auto"/>
                <w:sz w:val="21"/>
                <w:szCs w:val="21"/>
                <w:highlight w:val="none"/>
                <w:lang w:val="en-US" w:eastAsia="zh-CN"/>
              </w:rPr>
              <w:t>按比例扣减分值</w:t>
            </w:r>
            <w:r>
              <w:rPr>
                <w:rFonts w:hint="default" w:ascii="Times New Roman" w:hAnsi="Times New Roman" w:eastAsia="仿宋" w:cs="Times New Roman"/>
                <w:color w:val="auto"/>
                <w:sz w:val="21"/>
                <w:szCs w:val="21"/>
                <w:highlight w:val="none"/>
                <w:lang w:val="en-US" w:eastAsia="zh-CN"/>
              </w:rPr>
              <w:t>。</w:t>
            </w:r>
          </w:p>
        </w:tc>
        <w:tc>
          <w:tcPr>
            <w:tcW w:w="1567" w:type="dxa"/>
            <w:shd w:val="clear" w:color="000000" w:fill="FFFFFF"/>
            <w:vAlign w:val="center"/>
          </w:tcPr>
          <w:p w14:paraId="4727EC2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2</w:t>
            </w:r>
          </w:p>
        </w:tc>
      </w:tr>
      <w:tr w14:paraId="4A367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0F60E84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41E494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3DBB95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物业服务验收合格率（2分）</w:t>
            </w:r>
          </w:p>
        </w:tc>
        <w:tc>
          <w:tcPr>
            <w:tcW w:w="2999" w:type="dxa"/>
            <w:shd w:val="clear" w:color="000000" w:fill="FFFFFF"/>
            <w:vAlign w:val="center"/>
          </w:tcPr>
          <w:p w14:paraId="2F68204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考核物业服务工作的质量</w:t>
            </w:r>
          </w:p>
        </w:tc>
        <w:tc>
          <w:tcPr>
            <w:tcW w:w="5695" w:type="dxa"/>
            <w:shd w:val="clear" w:color="000000" w:fill="FFFFFF"/>
            <w:vAlign w:val="center"/>
          </w:tcPr>
          <w:p w14:paraId="55D5423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物业服务验收合格率</w:t>
            </w:r>
            <w:r>
              <w:rPr>
                <w:rFonts w:hint="eastAsia" w:eastAsia="仿宋" w:cs="Times New Roman"/>
                <w:color w:val="auto"/>
                <w:sz w:val="21"/>
                <w:szCs w:val="21"/>
                <w:highlight w:val="none"/>
                <w:lang w:val="en-US" w:eastAsia="zh-CN"/>
              </w:rPr>
              <w:t>达到标准得2.0分，未达到标准按比例扣减分值。</w:t>
            </w:r>
          </w:p>
        </w:tc>
        <w:tc>
          <w:tcPr>
            <w:tcW w:w="1567" w:type="dxa"/>
            <w:shd w:val="clear" w:color="000000" w:fill="FFFFFF"/>
            <w:vAlign w:val="center"/>
          </w:tcPr>
          <w:p w14:paraId="1DC3C4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2</w:t>
            </w:r>
          </w:p>
        </w:tc>
      </w:tr>
      <w:tr w14:paraId="2BBCB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2C8CCC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40AFF7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6322CD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印刷材料验收合格率（2分）</w:t>
            </w:r>
          </w:p>
        </w:tc>
        <w:tc>
          <w:tcPr>
            <w:tcW w:w="2999" w:type="dxa"/>
            <w:shd w:val="clear" w:color="000000" w:fill="FFFFFF"/>
            <w:vAlign w:val="center"/>
          </w:tcPr>
          <w:p w14:paraId="514F98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考核印刷材料的质量合格率</w:t>
            </w:r>
          </w:p>
        </w:tc>
        <w:tc>
          <w:tcPr>
            <w:tcW w:w="5695" w:type="dxa"/>
            <w:shd w:val="clear" w:color="000000" w:fill="FFFFFF"/>
            <w:vAlign w:val="center"/>
          </w:tcPr>
          <w:p w14:paraId="74AD9CF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印刷材料验收合格率</w:t>
            </w:r>
            <w:r>
              <w:rPr>
                <w:rFonts w:hint="eastAsia" w:ascii="Times New Roman" w:hAnsi="Times New Roman" w:eastAsia="仿宋" w:cs="Times New Roman"/>
                <w:color w:val="auto"/>
                <w:sz w:val="21"/>
                <w:szCs w:val="21"/>
                <w:highlight w:val="none"/>
                <w:lang w:val="en-US" w:eastAsia="zh-CN"/>
              </w:rPr>
              <w:t>（a）=</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印刷材料合格数</w:t>
            </w: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印刷材料总数</w:t>
            </w:r>
            <w:r>
              <w:rPr>
                <w:rFonts w:hint="default" w:ascii="Times New Roman" w:hAnsi="Times New Roman" w:eastAsia="仿宋" w:cs="Times New Roman"/>
                <w:color w:val="auto"/>
                <w:sz w:val="21"/>
                <w:szCs w:val="21"/>
                <w:highlight w:val="none"/>
                <w:lang w:val="en-US" w:eastAsia="zh-CN"/>
              </w:rPr>
              <w:t>]×100%。</w:t>
            </w:r>
          </w:p>
          <w:p w14:paraId="31637F2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①a≥0，得</w:t>
            </w:r>
            <w:r>
              <w:rPr>
                <w:rFonts w:hint="eastAsia" w:eastAsia="仿宋" w:cs="Times New Roman"/>
                <w:color w:val="auto"/>
                <w:sz w:val="21"/>
                <w:szCs w:val="21"/>
                <w:highlight w:val="none"/>
                <w:lang w:val="en-US" w:eastAsia="zh-CN"/>
              </w:rPr>
              <w:t>2</w:t>
            </w:r>
            <w:r>
              <w:rPr>
                <w:rFonts w:hint="default" w:ascii="Times New Roman" w:hAnsi="Times New Roman" w:eastAsia="仿宋" w:cs="Times New Roman"/>
                <w:color w:val="auto"/>
                <w:sz w:val="21"/>
                <w:szCs w:val="21"/>
                <w:highlight w:val="none"/>
                <w:lang w:val="en-US" w:eastAsia="zh-CN"/>
              </w:rPr>
              <w:t>.0分；</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②a＜0，</w:t>
            </w:r>
            <w:r>
              <w:rPr>
                <w:rFonts w:hint="eastAsia" w:ascii="Times New Roman" w:hAnsi="Times New Roman" w:eastAsia="仿宋" w:cs="Times New Roman"/>
                <w:color w:val="auto"/>
                <w:sz w:val="21"/>
                <w:szCs w:val="21"/>
                <w:highlight w:val="none"/>
                <w:lang w:val="en-US" w:eastAsia="zh-CN"/>
              </w:rPr>
              <w:t>按比例扣减分值</w:t>
            </w:r>
            <w:r>
              <w:rPr>
                <w:rFonts w:hint="default" w:ascii="Times New Roman" w:hAnsi="Times New Roman" w:eastAsia="仿宋" w:cs="Times New Roman"/>
                <w:color w:val="auto"/>
                <w:sz w:val="21"/>
                <w:szCs w:val="21"/>
                <w:highlight w:val="none"/>
                <w:lang w:val="en-US" w:eastAsia="zh-CN"/>
              </w:rPr>
              <w:t>。</w:t>
            </w:r>
          </w:p>
        </w:tc>
        <w:tc>
          <w:tcPr>
            <w:tcW w:w="1567" w:type="dxa"/>
            <w:shd w:val="clear" w:color="000000" w:fill="FFFFFF"/>
            <w:vAlign w:val="center"/>
          </w:tcPr>
          <w:p w14:paraId="56AB116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2</w:t>
            </w:r>
          </w:p>
        </w:tc>
      </w:tr>
      <w:tr w14:paraId="5D6A54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073148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restart"/>
            <w:vAlign w:val="center"/>
          </w:tcPr>
          <w:p w14:paraId="18698F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19C9E5D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时效</w:t>
            </w:r>
          </w:p>
          <w:p w14:paraId="3C040C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7</w:t>
            </w:r>
            <w:r>
              <w:rPr>
                <w:rFonts w:hint="default" w:ascii="Times New Roman" w:hAnsi="Times New Roman" w:eastAsia="仿宋" w:cs="Times New Roman"/>
                <w:color w:val="auto"/>
                <w:sz w:val="21"/>
                <w:szCs w:val="21"/>
                <w:highlight w:val="none"/>
                <w:lang w:val="en-US" w:eastAsia="zh-CN"/>
              </w:rPr>
              <w:t>分）</w:t>
            </w:r>
          </w:p>
        </w:tc>
        <w:tc>
          <w:tcPr>
            <w:tcW w:w="1779" w:type="dxa"/>
            <w:shd w:val="clear" w:color="000000" w:fill="FFFFFF"/>
            <w:vAlign w:val="center"/>
          </w:tcPr>
          <w:p w14:paraId="45065F4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法定时限内结案率（2分）</w:t>
            </w:r>
          </w:p>
        </w:tc>
        <w:tc>
          <w:tcPr>
            <w:tcW w:w="2999" w:type="dxa"/>
            <w:shd w:val="clear" w:color="000000" w:fill="FFFFFF"/>
            <w:vAlign w:val="center"/>
          </w:tcPr>
          <w:p w14:paraId="30448D0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考核在法定时限内结案情况</w:t>
            </w:r>
            <w:r>
              <w:rPr>
                <w:rFonts w:hint="default" w:ascii="Times New Roman" w:hAnsi="Times New Roman" w:eastAsia="仿宋" w:cs="Times New Roman"/>
                <w:color w:val="auto"/>
                <w:sz w:val="21"/>
                <w:szCs w:val="21"/>
                <w:highlight w:val="none"/>
                <w:lang w:val="en-US" w:eastAsia="zh-CN"/>
              </w:rPr>
              <w:t>。</w:t>
            </w:r>
          </w:p>
        </w:tc>
        <w:tc>
          <w:tcPr>
            <w:tcW w:w="5695" w:type="dxa"/>
            <w:shd w:val="clear" w:color="000000" w:fill="FFFFFF"/>
            <w:vAlign w:val="center"/>
          </w:tcPr>
          <w:p w14:paraId="5F8EFAC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在法定时限内结案率达到目标值得2.0分，未达到目标值按比例扣减分值。</w:t>
            </w:r>
          </w:p>
        </w:tc>
        <w:tc>
          <w:tcPr>
            <w:tcW w:w="1567" w:type="dxa"/>
            <w:shd w:val="clear" w:color="000000" w:fill="FFFFFF"/>
            <w:vAlign w:val="center"/>
          </w:tcPr>
          <w:p w14:paraId="55CD308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2</w:t>
            </w:r>
          </w:p>
        </w:tc>
      </w:tr>
      <w:tr w14:paraId="176B2D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1D35BC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098521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4742976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批捕案件办理时效（2分）</w:t>
            </w:r>
          </w:p>
        </w:tc>
        <w:tc>
          <w:tcPr>
            <w:tcW w:w="2999" w:type="dxa"/>
            <w:shd w:val="clear" w:color="000000" w:fill="FFFFFF"/>
            <w:vAlign w:val="center"/>
          </w:tcPr>
          <w:p w14:paraId="75C7C00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kern w:val="2"/>
                <w:sz w:val="21"/>
                <w:szCs w:val="21"/>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考核批捕案件办理的及时率。</w:t>
            </w:r>
          </w:p>
        </w:tc>
        <w:tc>
          <w:tcPr>
            <w:tcW w:w="5695" w:type="dxa"/>
            <w:shd w:val="clear" w:color="000000" w:fill="FFFFFF"/>
            <w:vAlign w:val="center"/>
          </w:tcPr>
          <w:p w14:paraId="71BD4EC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考核批捕案件办理时效达到目标值得2.0分，未达到目标值按比例扣减分值。</w:t>
            </w:r>
          </w:p>
        </w:tc>
        <w:tc>
          <w:tcPr>
            <w:tcW w:w="1567" w:type="dxa"/>
            <w:shd w:val="clear" w:color="000000" w:fill="FFFFFF"/>
            <w:vAlign w:val="center"/>
          </w:tcPr>
          <w:p w14:paraId="68BB212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2</w:t>
            </w:r>
          </w:p>
        </w:tc>
      </w:tr>
      <w:tr w14:paraId="7A07F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1A0E1B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0C7316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406665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kern w:val="2"/>
                <w:sz w:val="21"/>
                <w:szCs w:val="21"/>
                <w:lang w:val="en-US" w:eastAsia="zh-CN" w:bidi="ar-SA"/>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物业保障时长（2分）</w:t>
            </w:r>
          </w:p>
        </w:tc>
        <w:tc>
          <w:tcPr>
            <w:tcW w:w="2999" w:type="dxa"/>
            <w:shd w:val="clear" w:color="000000" w:fill="FFFFFF"/>
            <w:vAlign w:val="center"/>
          </w:tcPr>
          <w:p w14:paraId="5FD8116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考核物业服务时长是否达到目标值。</w:t>
            </w:r>
          </w:p>
        </w:tc>
        <w:tc>
          <w:tcPr>
            <w:tcW w:w="5695" w:type="dxa"/>
            <w:shd w:val="clear" w:color="000000" w:fill="FFFFFF"/>
            <w:vAlign w:val="center"/>
          </w:tcPr>
          <w:p w14:paraId="563C632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auto"/>
                <w:kern w:val="2"/>
                <w:sz w:val="21"/>
                <w:szCs w:val="21"/>
                <w:lang w:val="en-US" w:eastAsia="zh-CN" w:bidi="ar-SA"/>
              </w:rPr>
              <w:t>物业服务时长达到目标值</w:t>
            </w:r>
            <w:r>
              <w:rPr>
                <w:rFonts w:hint="eastAsia" w:ascii="仿宋" w:hAnsi="仿宋" w:eastAsia="仿宋" w:cs="仿宋"/>
                <w:color w:val="000000" w:themeColor="text1"/>
                <w:kern w:val="0"/>
                <w:sz w:val="21"/>
                <w:szCs w:val="21"/>
                <w:lang w:val="en-US" w:eastAsia="zh-CN" w:bidi="ar"/>
                <w14:textFill>
                  <w14:solidFill>
                    <w14:schemeClr w14:val="tx1"/>
                  </w14:solidFill>
                </w14:textFill>
              </w:rPr>
              <w:t>得2.0分，未达到目标值按比例扣减分值。</w:t>
            </w:r>
          </w:p>
        </w:tc>
        <w:tc>
          <w:tcPr>
            <w:tcW w:w="1567" w:type="dxa"/>
            <w:shd w:val="clear" w:color="000000" w:fill="FFFFFF"/>
            <w:vAlign w:val="center"/>
          </w:tcPr>
          <w:p w14:paraId="04EA0F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2</w:t>
            </w:r>
          </w:p>
        </w:tc>
      </w:tr>
      <w:tr w14:paraId="558F9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089912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036F89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161F98D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维修响应时间</w:t>
            </w:r>
          </w:p>
          <w:p w14:paraId="72B1FBD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（1分）</w:t>
            </w:r>
          </w:p>
        </w:tc>
        <w:tc>
          <w:tcPr>
            <w:tcW w:w="2999" w:type="dxa"/>
            <w:shd w:val="clear" w:color="000000" w:fill="FFFFFF"/>
            <w:vAlign w:val="center"/>
          </w:tcPr>
          <w:p w14:paraId="646C390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考核维修响应时间是否在目标值以内。</w:t>
            </w:r>
          </w:p>
        </w:tc>
        <w:tc>
          <w:tcPr>
            <w:tcW w:w="5695" w:type="dxa"/>
            <w:shd w:val="clear" w:color="000000" w:fill="FFFFFF"/>
            <w:vAlign w:val="center"/>
          </w:tcPr>
          <w:p w14:paraId="7003E7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维修响应时间达到目标值得2.0分，未达到目标值按比例扣减分值。</w:t>
            </w:r>
          </w:p>
        </w:tc>
        <w:tc>
          <w:tcPr>
            <w:tcW w:w="1567" w:type="dxa"/>
            <w:shd w:val="clear" w:color="000000" w:fill="FFFFFF"/>
            <w:vAlign w:val="center"/>
          </w:tcPr>
          <w:p w14:paraId="2F82D81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60425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303F6B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restart"/>
            <w:vAlign w:val="center"/>
          </w:tcPr>
          <w:p w14:paraId="1DD411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产出</w:t>
            </w:r>
          </w:p>
          <w:p w14:paraId="7292B3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成本</w:t>
            </w:r>
          </w:p>
          <w:p w14:paraId="68A220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5</w:t>
            </w:r>
            <w:r>
              <w:rPr>
                <w:rFonts w:hint="default" w:ascii="Times New Roman" w:hAnsi="Times New Roman" w:eastAsia="仿宋" w:cs="Times New Roman"/>
                <w:color w:val="auto"/>
                <w:sz w:val="21"/>
                <w:szCs w:val="21"/>
                <w:highlight w:val="none"/>
                <w:lang w:val="en-US" w:eastAsia="zh-CN"/>
              </w:rPr>
              <w:t>分）</w:t>
            </w:r>
          </w:p>
        </w:tc>
        <w:tc>
          <w:tcPr>
            <w:tcW w:w="1779" w:type="dxa"/>
            <w:shd w:val="clear" w:color="000000" w:fill="FFFFFF"/>
            <w:vAlign w:val="center"/>
          </w:tcPr>
          <w:p w14:paraId="3D0D621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公开听证成本</w:t>
            </w:r>
          </w:p>
          <w:p w14:paraId="45F79FCC">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（1分）</w:t>
            </w:r>
          </w:p>
        </w:tc>
        <w:tc>
          <w:tcPr>
            <w:tcW w:w="2999" w:type="dxa"/>
            <w:shd w:val="clear" w:color="000000" w:fill="FFFFFF"/>
            <w:vAlign w:val="center"/>
          </w:tcPr>
          <w:p w14:paraId="3EA24E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考核公开听证的资金支出情况。</w:t>
            </w:r>
          </w:p>
        </w:tc>
        <w:tc>
          <w:tcPr>
            <w:tcW w:w="5695" w:type="dxa"/>
            <w:shd w:val="clear" w:color="000000" w:fill="FFFFFF"/>
            <w:vAlign w:val="center"/>
          </w:tcPr>
          <w:p w14:paraId="38FF57B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公开听证成本达到目标值得1.0分，未达到目标值得0.0分。</w:t>
            </w:r>
          </w:p>
        </w:tc>
        <w:tc>
          <w:tcPr>
            <w:tcW w:w="1567" w:type="dxa"/>
            <w:shd w:val="clear" w:color="000000" w:fill="FFFFFF"/>
            <w:vAlign w:val="center"/>
          </w:tcPr>
          <w:p w14:paraId="00DB69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cs="Times New Roman"/>
                <w:color w:val="auto"/>
                <w:sz w:val="21"/>
                <w:szCs w:val="21"/>
                <w:highlight w:val="none"/>
                <w:lang w:val="en-US" w:eastAsia="zh-CN"/>
              </w:rPr>
              <w:t>0</w:t>
            </w:r>
          </w:p>
        </w:tc>
      </w:tr>
      <w:tr w14:paraId="23A68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4E72F71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6A384C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03A18C8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物业服务成本</w:t>
            </w:r>
          </w:p>
          <w:p w14:paraId="6DD269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（1分）</w:t>
            </w:r>
          </w:p>
        </w:tc>
        <w:tc>
          <w:tcPr>
            <w:tcW w:w="2999" w:type="dxa"/>
            <w:shd w:val="clear" w:color="000000" w:fill="FFFFFF"/>
            <w:vAlign w:val="center"/>
          </w:tcPr>
          <w:p w14:paraId="30B38CE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考核物业服务的资金使用情况。</w:t>
            </w:r>
          </w:p>
        </w:tc>
        <w:tc>
          <w:tcPr>
            <w:tcW w:w="5695" w:type="dxa"/>
            <w:shd w:val="clear" w:color="000000" w:fill="FFFFFF"/>
            <w:vAlign w:val="center"/>
          </w:tcPr>
          <w:p w14:paraId="0CBFAA0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物业服务成本</w:t>
            </w:r>
            <w:r>
              <w:rPr>
                <w:rFonts w:hint="eastAsia" w:eastAsia="仿宋" w:cs="Times New Roman"/>
                <w:color w:val="auto"/>
                <w:sz w:val="21"/>
                <w:szCs w:val="21"/>
                <w:highlight w:val="none"/>
                <w:lang w:val="en-US" w:eastAsia="zh-CN"/>
              </w:rPr>
              <w:t>达到目标值得1.0分，未达到目标值得0.0分。</w:t>
            </w:r>
          </w:p>
        </w:tc>
        <w:tc>
          <w:tcPr>
            <w:tcW w:w="1567" w:type="dxa"/>
            <w:shd w:val="clear" w:color="000000" w:fill="FFFFFF"/>
            <w:vAlign w:val="center"/>
          </w:tcPr>
          <w:p w14:paraId="2E042AA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cs="Times New Roman"/>
                <w:color w:val="auto"/>
                <w:sz w:val="21"/>
                <w:szCs w:val="21"/>
                <w:highlight w:val="none"/>
                <w:lang w:val="en-US" w:eastAsia="zh-CN"/>
              </w:rPr>
              <w:t>0</w:t>
            </w:r>
          </w:p>
        </w:tc>
      </w:tr>
      <w:tr w14:paraId="52E89F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468CC46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6347F6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45CF0C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差旅费（1分）</w:t>
            </w:r>
          </w:p>
        </w:tc>
        <w:tc>
          <w:tcPr>
            <w:tcW w:w="2999" w:type="dxa"/>
            <w:shd w:val="clear" w:color="000000" w:fill="FFFFFF"/>
            <w:vAlign w:val="center"/>
          </w:tcPr>
          <w:p w14:paraId="09A85A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考核差旅费的资金使用情况</w:t>
            </w:r>
          </w:p>
        </w:tc>
        <w:tc>
          <w:tcPr>
            <w:tcW w:w="5695" w:type="dxa"/>
            <w:shd w:val="clear" w:color="000000" w:fill="FFFFFF"/>
            <w:vAlign w:val="center"/>
          </w:tcPr>
          <w:p w14:paraId="3839488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差旅费</w:t>
            </w:r>
            <w:r>
              <w:rPr>
                <w:rFonts w:hint="eastAsia" w:eastAsia="仿宋" w:cs="Times New Roman"/>
                <w:color w:val="auto"/>
                <w:sz w:val="21"/>
                <w:szCs w:val="21"/>
                <w:highlight w:val="none"/>
                <w:lang w:val="en-US" w:eastAsia="zh-CN"/>
              </w:rPr>
              <w:t>达到目标值得1.0分，未达到目标值得0.0分。</w:t>
            </w:r>
          </w:p>
        </w:tc>
        <w:tc>
          <w:tcPr>
            <w:tcW w:w="1567" w:type="dxa"/>
            <w:shd w:val="clear" w:color="000000" w:fill="FFFFFF"/>
            <w:vAlign w:val="center"/>
          </w:tcPr>
          <w:p w14:paraId="50C620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10098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2436DE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1295EA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5ADDA3D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项目总支出成本（1分）</w:t>
            </w:r>
          </w:p>
        </w:tc>
        <w:tc>
          <w:tcPr>
            <w:tcW w:w="2999" w:type="dxa"/>
            <w:shd w:val="clear" w:color="000000" w:fill="FFFFFF"/>
            <w:vAlign w:val="center"/>
          </w:tcPr>
          <w:p w14:paraId="58B245E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考核项目总成本的资金使用情况</w:t>
            </w:r>
          </w:p>
        </w:tc>
        <w:tc>
          <w:tcPr>
            <w:tcW w:w="5695" w:type="dxa"/>
            <w:shd w:val="clear" w:color="000000" w:fill="FFFFFF"/>
            <w:vAlign w:val="center"/>
          </w:tcPr>
          <w:p w14:paraId="76834C8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项目总支出成本</w:t>
            </w:r>
            <w:r>
              <w:rPr>
                <w:rFonts w:hint="eastAsia" w:eastAsia="仿宋" w:cs="Times New Roman"/>
                <w:color w:val="auto"/>
                <w:sz w:val="21"/>
                <w:szCs w:val="21"/>
                <w:highlight w:val="none"/>
                <w:lang w:val="en-US" w:eastAsia="zh-CN"/>
              </w:rPr>
              <w:t>达到目标值得1.0分，未达到目标值得0.0分。</w:t>
            </w:r>
          </w:p>
        </w:tc>
        <w:tc>
          <w:tcPr>
            <w:tcW w:w="1567" w:type="dxa"/>
            <w:shd w:val="clear" w:color="000000" w:fill="FFFFFF"/>
            <w:vAlign w:val="center"/>
          </w:tcPr>
          <w:p w14:paraId="292EB8B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w:t>
            </w:r>
          </w:p>
        </w:tc>
      </w:tr>
      <w:tr w14:paraId="6CC76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3FE0E5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251A20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5E7722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印刷成本</w:t>
            </w:r>
          </w:p>
          <w:p w14:paraId="2811F5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（0.5分）</w:t>
            </w:r>
          </w:p>
        </w:tc>
        <w:tc>
          <w:tcPr>
            <w:tcW w:w="2999" w:type="dxa"/>
            <w:shd w:val="clear" w:color="000000" w:fill="FFFFFF"/>
            <w:vAlign w:val="center"/>
          </w:tcPr>
          <w:p w14:paraId="67EB26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考核项目印刷资金支出情况。</w:t>
            </w:r>
          </w:p>
        </w:tc>
        <w:tc>
          <w:tcPr>
            <w:tcW w:w="5695" w:type="dxa"/>
            <w:shd w:val="clear" w:color="000000" w:fill="FFFFFF"/>
            <w:vAlign w:val="center"/>
          </w:tcPr>
          <w:p w14:paraId="3885E74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印刷成本</w:t>
            </w:r>
            <w:r>
              <w:rPr>
                <w:rFonts w:hint="eastAsia" w:eastAsia="仿宋" w:cs="Times New Roman"/>
                <w:color w:val="auto"/>
                <w:sz w:val="21"/>
                <w:szCs w:val="21"/>
                <w:highlight w:val="none"/>
                <w:lang w:val="en-US" w:eastAsia="zh-CN"/>
              </w:rPr>
              <w:t>达到目标值得0.5分，未达到目标值得0.0分。</w:t>
            </w:r>
          </w:p>
        </w:tc>
        <w:tc>
          <w:tcPr>
            <w:tcW w:w="1567" w:type="dxa"/>
            <w:shd w:val="clear" w:color="000000" w:fill="FFFFFF"/>
            <w:vAlign w:val="center"/>
          </w:tcPr>
          <w:p w14:paraId="2AC42BE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0.5</w:t>
            </w:r>
          </w:p>
        </w:tc>
      </w:tr>
      <w:tr w14:paraId="2CACE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continue"/>
            <w:vAlign w:val="center"/>
          </w:tcPr>
          <w:p w14:paraId="2170F3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194" w:type="dxa"/>
            <w:vMerge w:val="continue"/>
            <w:vAlign w:val="center"/>
          </w:tcPr>
          <w:p w14:paraId="475BBD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000000" w:fill="FFFFFF"/>
            <w:vAlign w:val="center"/>
          </w:tcPr>
          <w:p w14:paraId="477F93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采购设备成本（0.5分）</w:t>
            </w:r>
          </w:p>
        </w:tc>
        <w:tc>
          <w:tcPr>
            <w:tcW w:w="2999" w:type="dxa"/>
            <w:shd w:val="clear" w:color="000000" w:fill="FFFFFF"/>
            <w:vAlign w:val="center"/>
          </w:tcPr>
          <w:p w14:paraId="204E833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考核项目采购设备资金支出情况</w:t>
            </w:r>
            <w:r>
              <w:rPr>
                <w:rFonts w:hint="default" w:ascii="Times New Roman" w:hAnsi="Times New Roman" w:eastAsia="仿宋" w:cs="Times New Roman"/>
                <w:color w:val="auto"/>
                <w:sz w:val="21"/>
                <w:szCs w:val="21"/>
                <w:highlight w:val="none"/>
                <w:lang w:val="en-US" w:eastAsia="zh-CN"/>
              </w:rPr>
              <w:t>。</w:t>
            </w:r>
          </w:p>
        </w:tc>
        <w:tc>
          <w:tcPr>
            <w:tcW w:w="5695" w:type="dxa"/>
            <w:shd w:val="clear" w:color="000000" w:fill="FFFFFF"/>
            <w:vAlign w:val="center"/>
          </w:tcPr>
          <w:p w14:paraId="114C7D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采购设备成本</w:t>
            </w:r>
            <w:r>
              <w:rPr>
                <w:rFonts w:hint="eastAsia" w:eastAsia="仿宋" w:cs="Times New Roman"/>
                <w:color w:val="auto"/>
                <w:sz w:val="21"/>
                <w:szCs w:val="21"/>
                <w:highlight w:val="none"/>
                <w:lang w:val="en-US" w:eastAsia="zh-CN"/>
              </w:rPr>
              <w:t>达到目标值得0.5分，未达到目标值得0.0分。</w:t>
            </w:r>
          </w:p>
        </w:tc>
        <w:tc>
          <w:tcPr>
            <w:tcW w:w="1567" w:type="dxa"/>
            <w:shd w:val="clear" w:color="000000" w:fill="FFFFFF"/>
            <w:vAlign w:val="center"/>
          </w:tcPr>
          <w:p w14:paraId="0B94F85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0</w:t>
            </w:r>
          </w:p>
        </w:tc>
      </w:tr>
      <w:tr w14:paraId="1CD9D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jc w:val="center"/>
        </w:trPr>
        <w:tc>
          <w:tcPr>
            <w:tcW w:w="1112" w:type="dxa"/>
            <w:vMerge w:val="restart"/>
            <w:vAlign w:val="center"/>
          </w:tcPr>
          <w:p w14:paraId="1CBC13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eastAsia" w:eastAsia="仿宋" w:cs="Times New Roman"/>
                <w:color w:val="auto"/>
                <w:sz w:val="21"/>
                <w:szCs w:val="21"/>
                <w:highlight w:val="none"/>
                <w:lang w:val="en-US" w:eastAsia="zh-CN"/>
              </w:rPr>
              <w:t>效益</w:t>
            </w:r>
            <w:r>
              <w:rPr>
                <w:rFonts w:hint="default" w:ascii="Times New Roman" w:hAnsi="Times New Roman" w:eastAsia="仿宋" w:cs="Times New Roman"/>
                <w:color w:val="auto"/>
                <w:sz w:val="21"/>
                <w:szCs w:val="21"/>
                <w:highlight w:val="none"/>
                <w:lang w:val="en-US" w:eastAsia="zh-CN"/>
              </w:rPr>
              <w:t>（30分）</w:t>
            </w:r>
          </w:p>
        </w:tc>
        <w:tc>
          <w:tcPr>
            <w:tcW w:w="1194" w:type="dxa"/>
            <w:vMerge w:val="restart"/>
            <w:vAlign w:val="center"/>
          </w:tcPr>
          <w:p w14:paraId="4EAE46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社会效益（</w:t>
            </w:r>
            <w:r>
              <w:rPr>
                <w:rFonts w:hint="eastAsia" w:eastAsia="仿宋" w:cs="Times New Roman"/>
                <w:color w:val="auto"/>
                <w:sz w:val="21"/>
                <w:szCs w:val="21"/>
                <w:highlight w:val="none"/>
                <w:lang w:val="en-US" w:eastAsia="zh-CN"/>
              </w:rPr>
              <w:t>10</w:t>
            </w:r>
            <w:r>
              <w:rPr>
                <w:rFonts w:hint="default" w:ascii="Times New Roman" w:hAnsi="Times New Roman" w:eastAsia="仿宋" w:cs="Times New Roman"/>
                <w:color w:val="auto"/>
                <w:sz w:val="21"/>
                <w:szCs w:val="21"/>
                <w:highlight w:val="none"/>
                <w:lang w:val="en-US" w:eastAsia="zh-CN"/>
              </w:rPr>
              <w:t>分）</w:t>
            </w:r>
          </w:p>
        </w:tc>
        <w:tc>
          <w:tcPr>
            <w:tcW w:w="1779" w:type="dxa"/>
            <w:shd w:val="clear" w:color="000000" w:fill="FFFFFF"/>
            <w:vAlign w:val="center"/>
          </w:tcPr>
          <w:p w14:paraId="45429C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办案人员能力</w:t>
            </w:r>
          </w:p>
          <w:p w14:paraId="6C3014E8">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sz w:val="21"/>
                <w:szCs w:val="21"/>
                <w:highlight w:val="none"/>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（5分）</w:t>
            </w:r>
          </w:p>
        </w:tc>
        <w:tc>
          <w:tcPr>
            <w:tcW w:w="2999" w:type="dxa"/>
            <w:shd w:val="clear" w:color="000000" w:fill="FFFFFF"/>
            <w:vAlign w:val="center"/>
          </w:tcPr>
          <w:p w14:paraId="404F125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lang w:val="en-US" w:eastAsia="zh-CN"/>
              </w:rPr>
              <w:t>通过项目实施，</w:t>
            </w:r>
            <w:r>
              <w:rPr>
                <w:rFonts w:hint="eastAsia" w:ascii="Times New Roman" w:hAnsi="Times New Roman" w:eastAsia="仿宋" w:cs="Times New Roman"/>
                <w:color w:val="auto"/>
                <w:sz w:val="21"/>
                <w:szCs w:val="21"/>
                <w:highlight w:val="none"/>
                <w:lang w:val="en-US" w:eastAsia="zh-CN"/>
              </w:rPr>
              <w:t>提高</w:t>
            </w:r>
            <w:r>
              <w:rPr>
                <w:rFonts w:hint="eastAsia" w:ascii="仿宋" w:hAnsi="仿宋" w:eastAsia="仿宋" w:cs="仿宋"/>
                <w:color w:val="000000" w:themeColor="text1"/>
                <w:kern w:val="0"/>
                <w:sz w:val="21"/>
                <w:szCs w:val="21"/>
                <w:lang w:val="en-US" w:eastAsia="zh-CN" w:bidi="ar"/>
                <w14:textFill>
                  <w14:solidFill>
                    <w14:schemeClr w14:val="tx1"/>
                  </w14:solidFill>
                </w14:textFill>
              </w:rPr>
              <w:t>办案人员能力</w:t>
            </w:r>
            <w:r>
              <w:rPr>
                <w:rFonts w:hint="default" w:ascii="Times New Roman" w:hAnsi="Times New Roman" w:eastAsia="仿宋" w:cs="Times New Roman"/>
                <w:color w:val="auto"/>
                <w:sz w:val="21"/>
                <w:szCs w:val="21"/>
                <w:highlight w:val="none"/>
                <w:lang w:val="en-US" w:eastAsia="zh-CN"/>
              </w:rPr>
              <w:t>，用以反映和考核项目对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办案人员能力</w:t>
            </w:r>
            <w:r>
              <w:rPr>
                <w:rFonts w:hint="default" w:ascii="Times New Roman" w:hAnsi="Times New Roman" w:eastAsia="仿宋" w:cs="Times New Roman"/>
                <w:color w:val="auto"/>
                <w:sz w:val="21"/>
                <w:szCs w:val="21"/>
                <w:highlight w:val="none"/>
                <w:lang w:val="en-US" w:eastAsia="zh-CN"/>
              </w:rPr>
              <w:t>的</w:t>
            </w:r>
            <w:r>
              <w:rPr>
                <w:rFonts w:hint="eastAsia" w:ascii="Times New Roman" w:hAnsi="Times New Roman" w:eastAsia="仿宋" w:cs="Times New Roman"/>
                <w:color w:val="auto"/>
                <w:sz w:val="21"/>
                <w:szCs w:val="21"/>
                <w:highlight w:val="none"/>
                <w:lang w:val="en-US" w:eastAsia="zh-CN"/>
              </w:rPr>
              <w:t>提升</w:t>
            </w:r>
            <w:r>
              <w:rPr>
                <w:rFonts w:hint="default" w:ascii="Times New Roman" w:hAnsi="Times New Roman" w:eastAsia="仿宋" w:cs="Times New Roman"/>
                <w:color w:val="auto"/>
                <w:sz w:val="21"/>
                <w:szCs w:val="21"/>
                <w:highlight w:val="none"/>
                <w:lang w:val="en-US" w:eastAsia="zh-CN"/>
              </w:rPr>
              <w:t>程度</w:t>
            </w:r>
          </w:p>
        </w:tc>
        <w:tc>
          <w:tcPr>
            <w:tcW w:w="5695" w:type="dxa"/>
            <w:shd w:val="clear" w:color="000000" w:fill="FFFFFF"/>
            <w:vAlign w:val="center"/>
          </w:tcPr>
          <w:p w14:paraId="69BC31D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根据</w:t>
            </w:r>
            <w:r>
              <w:rPr>
                <w:rFonts w:hint="default" w:ascii="Times New Roman" w:hAnsi="Times New Roman" w:eastAsia="仿宋" w:cs="Times New Roman"/>
                <w:color w:val="auto"/>
                <w:sz w:val="21"/>
                <w:szCs w:val="21"/>
                <w:highlight w:val="none"/>
                <w:lang w:val="en-US" w:eastAsia="zh-CN"/>
              </w:rPr>
              <w:t>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办案人员能力</w:t>
            </w:r>
            <w:r>
              <w:rPr>
                <w:rFonts w:hint="default" w:ascii="Times New Roman" w:hAnsi="Times New Roman" w:eastAsia="仿宋" w:cs="Times New Roman"/>
                <w:color w:val="auto"/>
                <w:sz w:val="21"/>
                <w:szCs w:val="21"/>
                <w:highlight w:val="none"/>
                <w:lang w:val="en-US" w:eastAsia="zh-CN"/>
              </w:rPr>
              <w:t>的</w:t>
            </w:r>
            <w:r>
              <w:rPr>
                <w:rFonts w:hint="eastAsia" w:eastAsia="仿宋" w:cs="Times New Roman"/>
                <w:color w:val="auto"/>
                <w:sz w:val="21"/>
                <w:szCs w:val="21"/>
                <w:highlight w:val="none"/>
                <w:lang w:val="en-US" w:eastAsia="zh-CN"/>
              </w:rPr>
              <w:t>提高</w:t>
            </w:r>
            <w:r>
              <w:rPr>
                <w:rFonts w:hint="default" w:ascii="Times New Roman" w:hAnsi="Times New Roman" w:eastAsia="仿宋" w:cs="Times New Roman"/>
                <w:color w:val="auto"/>
                <w:sz w:val="21"/>
                <w:szCs w:val="21"/>
                <w:highlight w:val="none"/>
                <w:lang w:val="en-US" w:eastAsia="zh-CN"/>
              </w:rPr>
              <w:t>程度权衡评分（0～</w:t>
            </w:r>
            <w:r>
              <w:rPr>
                <w:rFonts w:hint="eastAsia" w:eastAsia="仿宋" w:cs="Times New Roman"/>
                <w:color w:val="auto"/>
                <w:sz w:val="21"/>
                <w:szCs w:val="21"/>
                <w:highlight w:val="none"/>
                <w:lang w:val="en-US" w:eastAsia="zh-CN"/>
              </w:rPr>
              <w:t>5</w:t>
            </w:r>
            <w:r>
              <w:rPr>
                <w:rFonts w:hint="default" w:ascii="Times New Roman" w:hAnsi="Times New Roman" w:eastAsia="仿宋" w:cs="Times New Roman"/>
                <w:color w:val="auto"/>
                <w:sz w:val="21"/>
                <w:szCs w:val="21"/>
                <w:highlight w:val="none"/>
                <w:lang w:val="en-US" w:eastAsia="zh-CN"/>
              </w:rPr>
              <w:t>.0分）。</w:t>
            </w:r>
          </w:p>
        </w:tc>
        <w:tc>
          <w:tcPr>
            <w:tcW w:w="1567" w:type="dxa"/>
            <w:shd w:val="clear" w:color="000000" w:fill="FFFFFF"/>
            <w:vAlign w:val="center"/>
          </w:tcPr>
          <w:p w14:paraId="2DDCD13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4.5</w:t>
            </w:r>
          </w:p>
        </w:tc>
      </w:tr>
      <w:tr w14:paraId="1522D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1112" w:type="dxa"/>
            <w:vMerge w:val="continue"/>
            <w:vAlign w:val="center"/>
          </w:tcPr>
          <w:p w14:paraId="0AED48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194" w:type="dxa"/>
            <w:vMerge w:val="continue"/>
            <w:vAlign w:val="center"/>
          </w:tcPr>
          <w:p w14:paraId="4FB954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lang w:val="en-US" w:eastAsia="zh-CN"/>
              </w:rPr>
            </w:pPr>
          </w:p>
        </w:tc>
        <w:tc>
          <w:tcPr>
            <w:tcW w:w="1779" w:type="dxa"/>
            <w:shd w:val="clear" w:color="auto" w:fill="auto"/>
            <w:vAlign w:val="center"/>
          </w:tcPr>
          <w:p w14:paraId="0D1A199B">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000000" w:themeColor="text1"/>
                <w:kern w:val="0"/>
                <w:sz w:val="21"/>
                <w:szCs w:val="21"/>
                <w:lang w:val="en-US" w:eastAsia="zh-CN" w:bidi="ar"/>
                <w14:textFill>
                  <w14:solidFill>
                    <w14:schemeClr w14:val="tx1"/>
                  </w14:solidFill>
                </w14:textFill>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提升办案效率</w:t>
            </w:r>
          </w:p>
          <w:p w14:paraId="084BC0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（5分）</w:t>
            </w:r>
          </w:p>
        </w:tc>
        <w:tc>
          <w:tcPr>
            <w:tcW w:w="2999" w:type="dxa"/>
            <w:shd w:val="clear" w:color="auto" w:fill="auto"/>
            <w:vAlign w:val="center"/>
          </w:tcPr>
          <w:p w14:paraId="5A5EF34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eastAsia"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通过项目实施，</w:t>
            </w:r>
            <w:r>
              <w:rPr>
                <w:rFonts w:hint="eastAsia" w:ascii="仿宋" w:hAnsi="仿宋" w:eastAsia="仿宋" w:cs="仿宋"/>
                <w:color w:val="000000" w:themeColor="text1"/>
                <w:kern w:val="0"/>
                <w:sz w:val="21"/>
                <w:szCs w:val="21"/>
                <w:lang w:val="en-US" w:eastAsia="zh-CN" w:bidi="ar"/>
                <w14:textFill>
                  <w14:solidFill>
                    <w14:schemeClr w14:val="tx1"/>
                  </w14:solidFill>
                </w14:textFill>
              </w:rPr>
              <w:t>提升办案效率</w:t>
            </w:r>
            <w:r>
              <w:rPr>
                <w:rFonts w:hint="default" w:ascii="Times New Roman" w:hAnsi="Times New Roman" w:eastAsia="仿宋" w:cs="Times New Roman"/>
                <w:color w:val="auto"/>
                <w:sz w:val="21"/>
                <w:szCs w:val="21"/>
                <w:highlight w:val="none"/>
                <w:lang w:val="en-US" w:eastAsia="zh-CN"/>
              </w:rPr>
              <w:t>，用以反映和考核项目对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提升办案效率</w:t>
            </w:r>
            <w:r>
              <w:rPr>
                <w:rFonts w:hint="eastAsia" w:eastAsia="仿宋" w:cs="Times New Roman"/>
                <w:color w:val="auto"/>
                <w:sz w:val="21"/>
                <w:szCs w:val="21"/>
                <w:highlight w:val="none"/>
                <w:lang w:val="en-US" w:eastAsia="zh-CN"/>
              </w:rPr>
              <w:t>影响</w:t>
            </w:r>
            <w:r>
              <w:rPr>
                <w:rFonts w:hint="default" w:ascii="Times New Roman" w:hAnsi="Times New Roman" w:eastAsia="仿宋" w:cs="Times New Roman"/>
                <w:color w:val="auto"/>
                <w:sz w:val="21"/>
                <w:szCs w:val="21"/>
                <w:highlight w:val="none"/>
                <w:lang w:val="en-US" w:eastAsia="zh-CN"/>
              </w:rPr>
              <w:t>程度</w:t>
            </w:r>
          </w:p>
        </w:tc>
        <w:tc>
          <w:tcPr>
            <w:tcW w:w="5695" w:type="dxa"/>
            <w:shd w:val="clear" w:color="auto" w:fill="auto"/>
            <w:vAlign w:val="center"/>
          </w:tcPr>
          <w:p w14:paraId="400BA7B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eastAsia" w:eastAsia="仿宋" w:cs="Times New Roman"/>
                <w:color w:val="auto"/>
                <w:sz w:val="21"/>
                <w:szCs w:val="21"/>
                <w:highlight w:val="none"/>
                <w:lang w:eastAsia="zh-CN"/>
              </w:rPr>
            </w:pPr>
            <w:r>
              <w:rPr>
                <w:rFonts w:hint="eastAsia" w:eastAsia="仿宋" w:cs="Times New Roman"/>
                <w:color w:val="auto"/>
                <w:sz w:val="21"/>
                <w:szCs w:val="21"/>
                <w:highlight w:val="none"/>
                <w:lang w:val="en-US" w:eastAsia="zh-CN"/>
              </w:rPr>
              <w:t>根据</w:t>
            </w:r>
            <w:r>
              <w:rPr>
                <w:rFonts w:hint="default" w:ascii="Times New Roman" w:hAnsi="Times New Roman" w:eastAsia="仿宋" w:cs="Times New Roman"/>
                <w:color w:val="auto"/>
                <w:sz w:val="21"/>
                <w:szCs w:val="21"/>
                <w:highlight w:val="none"/>
                <w:lang w:val="en-US" w:eastAsia="zh-CN"/>
              </w:rPr>
              <w:t>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提升办案效率</w:t>
            </w:r>
            <w:r>
              <w:rPr>
                <w:rFonts w:hint="default" w:ascii="Times New Roman" w:hAnsi="Times New Roman" w:eastAsia="仿宋" w:cs="Times New Roman"/>
                <w:color w:val="auto"/>
                <w:sz w:val="21"/>
                <w:szCs w:val="21"/>
                <w:highlight w:val="none"/>
                <w:lang w:val="en-US" w:eastAsia="zh-CN"/>
              </w:rPr>
              <w:t>的</w:t>
            </w:r>
            <w:r>
              <w:rPr>
                <w:rFonts w:hint="eastAsia" w:eastAsia="仿宋" w:cs="Times New Roman"/>
                <w:color w:val="auto"/>
                <w:sz w:val="21"/>
                <w:szCs w:val="21"/>
                <w:highlight w:val="none"/>
                <w:lang w:val="en-US" w:eastAsia="zh-CN"/>
              </w:rPr>
              <w:t>提高</w:t>
            </w:r>
            <w:r>
              <w:rPr>
                <w:rFonts w:hint="default" w:ascii="Times New Roman" w:hAnsi="Times New Roman" w:eastAsia="仿宋" w:cs="Times New Roman"/>
                <w:color w:val="auto"/>
                <w:sz w:val="21"/>
                <w:szCs w:val="21"/>
                <w:highlight w:val="none"/>
                <w:lang w:val="en-US" w:eastAsia="zh-CN"/>
              </w:rPr>
              <w:t>程度权衡评分（0～</w:t>
            </w:r>
            <w:r>
              <w:rPr>
                <w:rFonts w:hint="eastAsia" w:eastAsia="仿宋" w:cs="Times New Roman"/>
                <w:color w:val="auto"/>
                <w:sz w:val="21"/>
                <w:szCs w:val="21"/>
                <w:highlight w:val="none"/>
                <w:lang w:val="en-US" w:eastAsia="zh-CN"/>
              </w:rPr>
              <w:t>5</w:t>
            </w:r>
            <w:r>
              <w:rPr>
                <w:rFonts w:hint="default" w:ascii="Times New Roman" w:hAnsi="Times New Roman" w:eastAsia="仿宋" w:cs="Times New Roman"/>
                <w:color w:val="auto"/>
                <w:sz w:val="21"/>
                <w:szCs w:val="21"/>
                <w:highlight w:val="none"/>
                <w:lang w:val="en-US" w:eastAsia="zh-CN"/>
              </w:rPr>
              <w:t>.0分）。</w:t>
            </w:r>
          </w:p>
        </w:tc>
        <w:tc>
          <w:tcPr>
            <w:tcW w:w="1567" w:type="dxa"/>
            <w:shd w:val="clear" w:color="auto" w:fill="auto"/>
            <w:vAlign w:val="center"/>
          </w:tcPr>
          <w:p w14:paraId="20C262F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4.5</w:t>
            </w:r>
          </w:p>
        </w:tc>
      </w:tr>
      <w:tr w14:paraId="75F15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1112" w:type="dxa"/>
            <w:vMerge w:val="continue"/>
            <w:vAlign w:val="center"/>
          </w:tcPr>
          <w:p w14:paraId="482F8D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194" w:type="dxa"/>
            <w:vAlign w:val="center"/>
          </w:tcPr>
          <w:p w14:paraId="7D9B1D7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可持续影响（</w:t>
            </w:r>
            <w:r>
              <w:rPr>
                <w:rFonts w:hint="eastAsia" w:eastAsia="仿宋" w:cs="Times New Roman"/>
                <w:color w:val="auto"/>
                <w:sz w:val="21"/>
                <w:szCs w:val="21"/>
                <w:highlight w:val="none"/>
                <w:lang w:val="en-US" w:eastAsia="zh-CN"/>
              </w:rPr>
              <w:t>10</w:t>
            </w:r>
            <w:r>
              <w:rPr>
                <w:rFonts w:hint="default" w:ascii="Times New Roman" w:hAnsi="Times New Roman" w:eastAsia="仿宋" w:cs="Times New Roman"/>
                <w:color w:val="auto"/>
                <w:sz w:val="21"/>
                <w:szCs w:val="21"/>
                <w:highlight w:val="none"/>
                <w:lang w:val="en-US" w:eastAsia="zh-CN"/>
              </w:rPr>
              <w:t>分）</w:t>
            </w:r>
          </w:p>
        </w:tc>
        <w:tc>
          <w:tcPr>
            <w:tcW w:w="1779" w:type="dxa"/>
            <w:shd w:val="clear" w:color="auto" w:fill="auto"/>
            <w:vAlign w:val="center"/>
          </w:tcPr>
          <w:p w14:paraId="60211B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 w:cs="Times New Roman"/>
                <w:color w:val="auto"/>
                <w:kern w:val="0"/>
                <w:sz w:val="21"/>
                <w:szCs w:val="21"/>
                <w:highlight w:val="none"/>
              </w:rPr>
            </w:pPr>
            <w:r>
              <w:rPr>
                <w:rFonts w:hint="eastAsia" w:ascii="仿宋" w:hAnsi="仿宋" w:eastAsia="仿宋" w:cs="仿宋"/>
                <w:color w:val="000000" w:themeColor="text1"/>
                <w:kern w:val="0"/>
                <w:sz w:val="21"/>
                <w:szCs w:val="21"/>
                <w:lang w:val="en-US" w:eastAsia="zh-CN" w:bidi="ar"/>
                <w14:textFill>
                  <w14:solidFill>
                    <w14:schemeClr w14:val="tx1"/>
                  </w14:solidFill>
                </w14:textFill>
              </w:rPr>
              <w:t>保障司法办案顺利开展</w:t>
            </w:r>
            <w:r>
              <w:rPr>
                <w:rFonts w:hint="eastAsia" w:ascii="仿宋" w:hAnsi="仿宋" w:eastAsia="仿宋" w:cs="仿宋"/>
                <w:color w:val="auto"/>
                <w:sz w:val="21"/>
                <w:szCs w:val="21"/>
                <w:lang w:val="en-US" w:eastAsia="zh-CN"/>
              </w:rPr>
              <w:t>（10分）</w:t>
            </w:r>
          </w:p>
        </w:tc>
        <w:tc>
          <w:tcPr>
            <w:tcW w:w="2999" w:type="dxa"/>
            <w:shd w:val="clear" w:color="auto" w:fill="auto"/>
            <w:vAlign w:val="center"/>
          </w:tcPr>
          <w:p w14:paraId="79F91CF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eastAsia="zh-CN"/>
              </w:rPr>
            </w:pPr>
            <w:r>
              <w:rPr>
                <w:rFonts w:hint="eastAsia" w:eastAsia="仿宋" w:cs="Times New Roman"/>
                <w:color w:val="auto"/>
                <w:sz w:val="21"/>
                <w:szCs w:val="21"/>
                <w:highlight w:val="none"/>
                <w:lang w:val="en-US" w:eastAsia="zh-CN"/>
              </w:rPr>
              <w:t>通过项目实施，</w:t>
            </w:r>
            <w:r>
              <w:rPr>
                <w:rFonts w:hint="eastAsia" w:ascii="仿宋" w:hAnsi="仿宋" w:eastAsia="仿宋" w:cs="仿宋"/>
                <w:color w:val="000000" w:themeColor="text1"/>
                <w:kern w:val="0"/>
                <w:sz w:val="21"/>
                <w:szCs w:val="21"/>
                <w:lang w:val="en-US" w:eastAsia="zh-CN" w:bidi="ar"/>
                <w14:textFill>
                  <w14:solidFill>
                    <w14:schemeClr w14:val="tx1"/>
                  </w14:solidFill>
                </w14:textFill>
              </w:rPr>
              <w:t>保障司法办案顺利开展</w:t>
            </w:r>
            <w:r>
              <w:rPr>
                <w:rFonts w:hint="eastAsia" w:eastAsia="仿宋" w:cs="Times New Roman"/>
                <w:color w:val="auto"/>
                <w:sz w:val="21"/>
                <w:szCs w:val="21"/>
                <w:highlight w:val="none"/>
                <w:lang w:val="en-US" w:eastAsia="zh-CN"/>
              </w:rPr>
              <w:t>，用以反映和考核项目对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保障司法办案顺利开展</w:t>
            </w:r>
            <w:r>
              <w:rPr>
                <w:rFonts w:hint="eastAsia" w:eastAsia="仿宋" w:cs="Times New Roman"/>
                <w:color w:val="auto"/>
                <w:sz w:val="21"/>
                <w:szCs w:val="21"/>
                <w:highlight w:val="none"/>
                <w:lang w:val="en-US" w:eastAsia="zh-CN"/>
              </w:rPr>
              <w:t>的长期影响程度。</w:t>
            </w:r>
          </w:p>
        </w:tc>
        <w:tc>
          <w:tcPr>
            <w:tcW w:w="5695" w:type="dxa"/>
            <w:shd w:val="clear" w:color="auto" w:fill="auto"/>
            <w:vAlign w:val="center"/>
          </w:tcPr>
          <w:p w14:paraId="7B0FA2D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eastAsia="zh-CN"/>
              </w:rPr>
              <w:t>根据</w:t>
            </w:r>
            <w:r>
              <w:rPr>
                <w:rFonts w:hint="eastAsia" w:eastAsia="仿宋" w:cs="Times New Roman"/>
                <w:color w:val="auto"/>
                <w:sz w:val="21"/>
                <w:szCs w:val="21"/>
                <w:highlight w:val="none"/>
                <w:lang w:val="en-US" w:eastAsia="zh-CN"/>
              </w:rPr>
              <w:t>项目对</w:t>
            </w:r>
            <w:r>
              <w:rPr>
                <w:rFonts w:hint="eastAsia" w:ascii="仿宋" w:hAnsi="仿宋" w:eastAsia="仿宋" w:cs="仿宋"/>
                <w:color w:val="000000" w:themeColor="text1"/>
                <w:kern w:val="0"/>
                <w:sz w:val="21"/>
                <w:szCs w:val="21"/>
                <w:lang w:val="en-US" w:eastAsia="zh-CN" w:bidi="ar"/>
                <w14:textFill>
                  <w14:solidFill>
                    <w14:schemeClr w14:val="tx1"/>
                  </w14:solidFill>
                </w14:textFill>
              </w:rPr>
              <w:t>保障司法办案顺利开展</w:t>
            </w:r>
            <w:r>
              <w:rPr>
                <w:rFonts w:hint="eastAsia" w:eastAsia="仿宋" w:cs="Times New Roman"/>
                <w:color w:val="auto"/>
                <w:sz w:val="21"/>
                <w:szCs w:val="21"/>
                <w:highlight w:val="none"/>
                <w:lang w:val="en-US" w:eastAsia="zh-CN"/>
              </w:rPr>
              <w:t>影响程度</w:t>
            </w:r>
            <w:r>
              <w:rPr>
                <w:rFonts w:hint="default" w:ascii="Times New Roman" w:hAnsi="Times New Roman" w:eastAsia="仿宋" w:cs="Times New Roman"/>
                <w:color w:val="auto"/>
                <w:sz w:val="21"/>
                <w:szCs w:val="21"/>
                <w:highlight w:val="none"/>
                <w:lang w:val="en-US" w:eastAsia="zh-CN"/>
              </w:rPr>
              <w:t>权衡评分（0～</w:t>
            </w:r>
            <w:r>
              <w:rPr>
                <w:rFonts w:hint="eastAsia" w:eastAsia="仿宋" w:cs="Times New Roman"/>
                <w:color w:val="auto"/>
                <w:sz w:val="21"/>
                <w:szCs w:val="21"/>
                <w:highlight w:val="none"/>
                <w:lang w:val="en-US" w:eastAsia="zh-CN"/>
              </w:rPr>
              <w:t>10</w:t>
            </w:r>
            <w:r>
              <w:rPr>
                <w:rFonts w:hint="default" w:ascii="Times New Roman" w:hAnsi="Times New Roman" w:eastAsia="仿宋" w:cs="Times New Roman"/>
                <w:color w:val="auto"/>
                <w:sz w:val="21"/>
                <w:szCs w:val="21"/>
                <w:highlight w:val="none"/>
                <w:lang w:val="en-US" w:eastAsia="zh-CN"/>
              </w:rPr>
              <w:t>.0分）。</w:t>
            </w:r>
          </w:p>
        </w:tc>
        <w:tc>
          <w:tcPr>
            <w:tcW w:w="1567" w:type="dxa"/>
            <w:shd w:val="clear" w:color="auto" w:fill="auto"/>
            <w:vAlign w:val="center"/>
          </w:tcPr>
          <w:p w14:paraId="48F1638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9</w:t>
            </w:r>
          </w:p>
        </w:tc>
      </w:tr>
      <w:tr w14:paraId="7BB3E7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6" w:hRule="atLeast"/>
          <w:jc w:val="center"/>
        </w:trPr>
        <w:tc>
          <w:tcPr>
            <w:tcW w:w="1112" w:type="dxa"/>
            <w:vMerge w:val="continue"/>
            <w:vAlign w:val="center"/>
          </w:tcPr>
          <w:p w14:paraId="709296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p>
        </w:tc>
        <w:tc>
          <w:tcPr>
            <w:tcW w:w="1194" w:type="dxa"/>
            <w:vAlign w:val="center"/>
          </w:tcPr>
          <w:p w14:paraId="76CFF8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受益群体</w:t>
            </w:r>
            <w:r>
              <w:rPr>
                <w:rFonts w:hint="default" w:ascii="Times New Roman" w:hAnsi="Times New Roman" w:eastAsia="仿宋" w:cs="Times New Roman"/>
                <w:color w:val="auto"/>
                <w:sz w:val="21"/>
                <w:szCs w:val="21"/>
                <w:highlight w:val="none"/>
                <w:lang w:val="en-US" w:eastAsia="zh-CN"/>
              </w:rPr>
              <w:br w:type="textWrapping"/>
            </w:r>
            <w:r>
              <w:rPr>
                <w:rFonts w:hint="default" w:ascii="Times New Roman" w:hAnsi="Times New Roman" w:eastAsia="仿宋" w:cs="Times New Roman"/>
                <w:color w:val="auto"/>
                <w:sz w:val="21"/>
                <w:szCs w:val="21"/>
                <w:highlight w:val="none"/>
                <w:lang w:val="en-US" w:eastAsia="zh-CN"/>
              </w:rPr>
              <w:t>满意度</w:t>
            </w:r>
          </w:p>
          <w:p w14:paraId="7E29AE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lang w:val="en-US" w:eastAsia="zh-CN"/>
              </w:rPr>
              <w:t>（</w:t>
            </w:r>
            <w:r>
              <w:rPr>
                <w:rFonts w:hint="eastAsia" w:eastAsia="仿宋" w:cs="Times New Roman"/>
                <w:color w:val="auto"/>
                <w:sz w:val="21"/>
                <w:szCs w:val="21"/>
                <w:highlight w:val="none"/>
                <w:lang w:val="en-US" w:eastAsia="zh-CN"/>
              </w:rPr>
              <w:t>10</w:t>
            </w:r>
            <w:r>
              <w:rPr>
                <w:rFonts w:hint="default" w:ascii="Times New Roman" w:hAnsi="Times New Roman" w:eastAsia="仿宋" w:cs="Times New Roman"/>
                <w:color w:val="auto"/>
                <w:sz w:val="21"/>
                <w:szCs w:val="21"/>
                <w:highlight w:val="none"/>
                <w:lang w:val="en-US" w:eastAsia="zh-CN"/>
              </w:rPr>
              <w:t>分）</w:t>
            </w:r>
          </w:p>
        </w:tc>
        <w:tc>
          <w:tcPr>
            <w:tcW w:w="1779" w:type="dxa"/>
            <w:shd w:val="clear" w:color="auto" w:fill="auto"/>
            <w:vAlign w:val="center"/>
          </w:tcPr>
          <w:p w14:paraId="5CFC7125">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人民群众满意度（10分）</w:t>
            </w:r>
          </w:p>
        </w:tc>
        <w:tc>
          <w:tcPr>
            <w:tcW w:w="2999" w:type="dxa"/>
            <w:shd w:val="clear" w:color="auto" w:fill="auto"/>
            <w:vAlign w:val="center"/>
          </w:tcPr>
          <w:p w14:paraId="73E94D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人民群众</w:t>
            </w:r>
            <w:r>
              <w:rPr>
                <w:rFonts w:hint="default" w:ascii="Times New Roman" w:hAnsi="Times New Roman" w:eastAsia="仿宋" w:cs="Times New Roman"/>
                <w:color w:val="auto"/>
                <w:sz w:val="21"/>
                <w:szCs w:val="21"/>
                <w:highlight w:val="none"/>
                <w:lang w:val="en-US" w:eastAsia="zh-CN"/>
              </w:rPr>
              <w:t>对项目的满意程度。</w:t>
            </w:r>
          </w:p>
        </w:tc>
        <w:tc>
          <w:tcPr>
            <w:tcW w:w="5695" w:type="dxa"/>
            <w:shd w:val="clear" w:color="auto" w:fill="auto"/>
            <w:vAlign w:val="center"/>
          </w:tcPr>
          <w:p w14:paraId="2D3D8F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eastAsia"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人民群众满意度</w:t>
            </w:r>
            <w:r>
              <w:rPr>
                <w:rFonts w:hint="default" w:ascii="Times New Roman" w:hAnsi="Times New Roman" w:eastAsia="仿宋" w:cs="Times New Roman"/>
                <w:color w:val="auto"/>
                <w:sz w:val="21"/>
                <w:szCs w:val="21"/>
                <w:highlight w:val="none"/>
                <w:lang w:val="en-US" w:eastAsia="zh-CN"/>
              </w:rPr>
              <w:t>（a）=（调查问卷实际得分/调查问卷设定分值）×100%</w:t>
            </w:r>
          </w:p>
        </w:tc>
        <w:tc>
          <w:tcPr>
            <w:tcW w:w="1567" w:type="dxa"/>
            <w:shd w:val="clear" w:color="auto" w:fill="auto"/>
            <w:vAlign w:val="center"/>
          </w:tcPr>
          <w:p w14:paraId="0813EF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eastAsia="仿宋" w:cs="Times New Roman"/>
                <w:color w:val="auto"/>
                <w:sz w:val="21"/>
                <w:szCs w:val="21"/>
                <w:highlight w:val="none"/>
                <w:lang w:val="en-US" w:eastAsia="zh-CN"/>
              </w:rPr>
            </w:pPr>
            <w:r>
              <w:rPr>
                <w:rFonts w:hint="eastAsia" w:cs="Times New Roman"/>
                <w:color w:val="auto"/>
                <w:sz w:val="21"/>
                <w:szCs w:val="21"/>
                <w:highlight w:val="none"/>
                <w:lang w:val="en-US" w:eastAsia="zh-CN"/>
              </w:rPr>
              <w:t>9</w:t>
            </w:r>
          </w:p>
        </w:tc>
      </w:tr>
      <w:tr w14:paraId="5C6B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 w:hRule="atLeast"/>
          <w:jc w:val="center"/>
        </w:trPr>
        <w:tc>
          <w:tcPr>
            <w:tcW w:w="1112" w:type="dxa"/>
            <w:vAlign w:val="center"/>
          </w:tcPr>
          <w:p w14:paraId="3616BC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Times New Roman" w:hAnsi="Times New Roman" w:eastAsia="仿宋" w:cs="Times New Roman"/>
                <w:color w:val="auto"/>
                <w:sz w:val="21"/>
                <w:szCs w:val="21"/>
                <w:highlight w:val="none"/>
                <w:lang w:eastAsia="zh-CN"/>
              </w:rPr>
            </w:pPr>
            <w:r>
              <w:rPr>
                <w:rFonts w:hint="eastAsia" w:eastAsia="仿宋" w:cs="Times New Roman"/>
                <w:color w:val="auto"/>
                <w:sz w:val="21"/>
                <w:szCs w:val="21"/>
                <w:highlight w:val="none"/>
                <w:lang w:eastAsia="zh-CN"/>
              </w:rPr>
              <w:t>合计</w:t>
            </w:r>
          </w:p>
        </w:tc>
        <w:tc>
          <w:tcPr>
            <w:tcW w:w="1194" w:type="dxa"/>
            <w:vAlign w:val="center"/>
          </w:tcPr>
          <w:p w14:paraId="64F2A9B1">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eastAsia="仿宋"/>
                <w:lang w:val="en-US" w:eastAsia="zh-CN"/>
              </w:rPr>
            </w:pPr>
            <w:r>
              <w:rPr>
                <w:rFonts w:hint="eastAsia" w:ascii="Times New Roman" w:hAnsi="Times New Roman" w:eastAsia="仿宋" w:cs="Times New Roman"/>
                <w:color w:val="auto"/>
                <w:sz w:val="21"/>
                <w:szCs w:val="21"/>
                <w:highlight w:val="none"/>
                <w:lang w:val="en-US" w:eastAsia="zh-CN"/>
              </w:rPr>
              <w:t>100分</w:t>
            </w:r>
          </w:p>
        </w:tc>
        <w:tc>
          <w:tcPr>
            <w:tcW w:w="1779" w:type="dxa"/>
            <w:vAlign w:val="center"/>
          </w:tcPr>
          <w:p w14:paraId="4E004C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 w:cs="Times New Roman"/>
                <w:color w:val="auto"/>
                <w:sz w:val="21"/>
                <w:szCs w:val="21"/>
                <w:highlight w:val="none"/>
                <w:lang w:val="en-US" w:eastAsia="zh-CN"/>
              </w:rPr>
            </w:pPr>
          </w:p>
        </w:tc>
        <w:tc>
          <w:tcPr>
            <w:tcW w:w="2999" w:type="dxa"/>
            <w:shd w:val="clear" w:color="auto" w:fill="auto"/>
            <w:vAlign w:val="center"/>
          </w:tcPr>
          <w:p w14:paraId="7004043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kern w:val="0"/>
                <w:sz w:val="21"/>
                <w:szCs w:val="21"/>
                <w:highlight w:val="none"/>
              </w:rPr>
            </w:pPr>
          </w:p>
        </w:tc>
        <w:tc>
          <w:tcPr>
            <w:tcW w:w="5695" w:type="dxa"/>
            <w:shd w:val="clear" w:color="auto" w:fill="auto"/>
            <w:vAlign w:val="center"/>
          </w:tcPr>
          <w:p w14:paraId="138928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rPr>
                <w:rFonts w:hint="default" w:ascii="Times New Roman" w:hAnsi="Times New Roman" w:eastAsia="仿宋" w:cs="Times New Roman"/>
                <w:color w:val="auto"/>
                <w:sz w:val="21"/>
                <w:szCs w:val="21"/>
                <w:highlight w:val="none"/>
                <w:lang w:eastAsia="zh-CN"/>
              </w:rPr>
            </w:pPr>
          </w:p>
        </w:tc>
        <w:tc>
          <w:tcPr>
            <w:tcW w:w="1567" w:type="dxa"/>
            <w:shd w:val="clear" w:color="auto" w:fill="auto"/>
            <w:vAlign w:val="center"/>
          </w:tcPr>
          <w:p w14:paraId="1D951FC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default" w:ascii="Times New Roman" w:hAnsi="Times New Roman" w:eastAsia="仿宋" w:cs="Times New Roman"/>
                <w:color w:val="auto"/>
                <w:sz w:val="21"/>
                <w:szCs w:val="21"/>
                <w:highlight w:val="none"/>
                <w:lang w:val="en-US" w:eastAsia="zh-CN"/>
              </w:rPr>
            </w:pPr>
            <w:r>
              <w:rPr>
                <w:rFonts w:hint="eastAsia" w:cs="Times New Roman"/>
                <w:color w:val="auto"/>
                <w:sz w:val="21"/>
                <w:szCs w:val="21"/>
                <w:highlight w:val="none"/>
                <w:lang w:val="en-US" w:eastAsia="zh-CN"/>
              </w:rPr>
              <w:t>94.48</w:t>
            </w:r>
          </w:p>
        </w:tc>
      </w:tr>
    </w:tbl>
    <w:p w14:paraId="3C84051C">
      <w:pPr>
        <w:bidi w:val="0"/>
        <w:rPr>
          <w:rFonts w:hint="eastAsia"/>
          <w:color w:val="auto"/>
        </w:rPr>
      </w:pPr>
    </w:p>
    <w:sectPr>
      <w:footerReference r:id="rId7" w:type="default"/>
      <w:pgSz w:w="16838" w:h="11906" w:orient="landscape"/>
      <w:pgMar w:top="1800" w:right="1440" w:bottom="1800" w:left="144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09EA0D-3DBC-4DA7-A2B3-F3D91A29162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137680F2-A8B2-47C0-90BB-0A19C6B98E9C}"/>
  </w:font>
  <w:font w:name="Noto Sans CJK JP Blac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Noto Sans Mono CJK JP Bold">
    <w:altName w:val="Segoe Print"/>
    <w:panose1 w:val="00000000000000000000"/>
    <w:charset w:val="00"/>
    <w:family w:val="swiss"/>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9984AE4A-D011-46A0-A180-D40B9E8F7984}"/>
  </w:font>
  <w:font w:name="方正小标宋_GBK">
    <w:panose1 w:val="02000000000000000000"/>
    <w:charset w:val="86"/>
    <w:family w:val="auto"/>
    <w:pitch w:val="default"/>
    <w:sig w:usb0="A00002BF" w:usb1="38CF7CFA" w:usb2="00082016" w:usb3="00000000" w:csb0="00040001" w:csb1="00000000"/>
    <w:embedRegular r:id="rId4" w:fontKey="{50BC406F-8E28-4CB6-A573-CD7AE5E2C5DC}"/>
  </w:font>
  <w:font w:name="微软雅黑">
    <w:panose1 w:val="020B0503020204020204"/>
    <w:charset w:val="86"/>
    <w:family w:val="auto"/>
    <w:pitch w:val="default"/>
    <w:sig w:usb0="80000287" w:usb1="280F3C52" w:usb2="00000016" w:usb3="00000000" w:csb0="0004001F" w:csb1="00000000"/>
    <w:embedRegular r:id="rId5" w:fontKey="{C4547D41-F5E9-4E88-81B4-E7701ABFD146}"/>
  </w:font>
  <w:font w:name="楷体">
    <w:panose1 w:val="02010609060101010101"/>
    <w:charset w:val="86"/>
    <w:family w:val="auto"/>
    <w:pitch w:val="default"/>
    <w:sig w:usb0="800002BF" w:usb1="38CF7CFA" w:usb2="00000016" w:usb3="00000000" w:csb0="00040001" w:csb1="00000000"/>
    <w:embedRegular r:id="rId6" w:fontKey="{2DC52F49-AB75-4289-8F42-79E865BF8717}"/>
  </w:font>
  <w:font w:name="方正黑体简体">
    <w:panose1 w:val="02000000000000000000"/>
    <w:charset w:val="86"/>
    <w:family w:val="auto"/>
    <w:pitch w:val="default"/>
    <w:sig w:usb0="A00002BF" w:usb1="184F6CFA" w:usb2="00000012" w:usb3="00000000" w:csb0="00040001" w:csb1="00000000"/>
    <w:embedRegular r:id="rId7" w:fontKey="{4A812918-0652-480B-8025-7EB73AE5C05F}"/>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D5346">
    <w:pPr>
      <w:pStyle w:val="12"/>
      <w:tabs>
        <w:tab w:val="clear" w:pos="4153"/>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99034">
    <w:pPr>
      <w:pStyle w:val="12"/>
      <w:tabs>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A00E6B">
                          <w:pPr>
                            <w:pStyle w:val="12"/>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17A00E6B">
                    <w:pPr>
                      <w:pStyle w:val="12"/>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mc:Fallback>
      </mc:AlternateConten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5FAF1">
    <w:pPr>
      <w:pStyle w:val="12"/>
      <w:tabs>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42B9AA">
                          <w:pPr>
                            <w:pStyle w:val="12"/>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842B9AA">
                    <w:pPr>
                      <w:pStyle w:val="12"/>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749CDA"/>
    <w:multiLevelType w:val="singleLevel"/>
    <w:tmpl w:val="A9749CD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iM2ZkY2QyNzg5NzE4MjdjMzVjOTc2M2NmY2IyNDIifQ=="/>
  </w:docVars>
  <w:rsids>
    <w:rsidRoot w:val="20DE4CFD"/>
    <w:rsid w:val="00174141"/>
    <w:rsid w:val="00A25F4C"/>
    <w:rsid w:val="00CA11EA"/>
    <w:rsid w:val="01200F7F"/>
    <w:rsid w:val="015938D3"/>
    <w:rsid w:val="01C85B80"/>
    <w:rsid w:val="01DF3EEF"/>
    <w:rsid w:val="02027AB7"/>
    <w:rsid w:val="02182ED7"/>
    <w:rsid w:val="025D1E7B"/>
    <w:rsid w:val="02B63EF1"/>
    <w:rsid w:val="02F76F90"/>
    <w:rsid w:val="03A82039"/>
    <w:rsid w:val="03DA73DE"/>
    <w:rsid w:val="04161698"/>
    <w:rsid w:val="043065D7"/>
    <w:rsid w:val="05922FA0"/>
    <w:rsid w:val="05B05E96"/>
    <w:rsid w:val="064D0E31"/>
    <w:rsid w:val="06654211"/>
    <w:rsid w:val="06D82DF1"/>
    <w:rsid w:val="06E96BF0"/>
    <w:rsid w:val="071D689A"/>
    <w:rsid w:val="0727570F"/>
    <w:rsid w:val="07736933"/>
    <w:rsid w:val="07911761"/>
    <w:rsid w:val="07A86AAB"/>
    <w:rsid w:val="07C0595E"/>
    <w:rsid w:val="08241164"/>
    <w:rsid w:val="08556700"/>
    <w:rsid w:val="08851F37"/>
    <w:rsid w:val="08BA6A96"/>
    <w:rsid w:val="08CE1E54"/>
    <w:rsid w:val="08DD11C5"/>
    <w:rsid w:val="09A432A2"/>
    <w:rsid w:val="09D26061"/>
    <w:rsid w:val="09F35DE1"/>
    <w:rsid w:val="0A1246B0"/>
    <w:rsid w:val="0A337BC5"/>
    <w:rsid w:val="0B154BBD"/>
    <w:rsid w:val="0B332B30"/>
    <w:rsid w:val="0B6D7FF0"/>
    <w:rsid w:val="0BDC31C7"/>
    <w:rsid w:val="0C4548C9"/>
    <w:rsid w:val="0CD83026"/>
    <w:rsid w:val="0CDA6810"/>
    <w:rsid w:val="0D337136"/>
    <w:rsid w:val="0D7F205C"/>
    <w:rsid w:val="0DD64179"/>
    <w:rsid w:val="0DDA7292"/>
    <w:rsid w:val="0E000BB7"/>
    <w:rsid w:val="0E4D483E"/>
    <w:rsid w:val="0E8044A1"/>
    <w:rsid w:val="0E883192"/>
    <w:rsid w:val="0EF83E74"/>
    <w:rsid w:val="0F4672D5"/>
    <w:rsid w:val="0FA171A3"/>
    <w:rsid w:val="10593038"/>
    <w:rsid w:val="105E73AE"/>
    <w:rsid w:val="10A3105B"/>
    <w:rsid w:val="10B262A5"/>
    <w:rsid w:val="1131366D"/>
    <w:rsid w:val="11632CE7"/>
    <w:rsid w:val="11AE2A30"/>
    <w:rsid w:val="123C3727"/>
    <w:rsid w:val="128B14A3"/>
    <w:rsid w:val="12C54E79"/>
    <w:rsid w:val="12C81DAF"/>
    <w:rsid w:val="1305241F"/>
    <w:rsid w:val="131B6564"/>
    <w:rsid w:val="132A4818"/>
    <w:rsid w:val="136441CE"/>
    <w:rsid w:val="137D5290"/>
    <w:rsid w:val="13AC7923"/>
    <w:rsid w:val="13B518E3"/>
    <w:rsid w:val="14596B6E"/>
    <w:rsid w:val="14C8078D"/>
    <w:rsid w:val="14D82898"/>
    <w:rsid w:val="14E3210B"/>
    <w:rsid w:val="14EA0703"/>
    <w:rsid w:val="150F1F18"/>
    <w:rsid w:val="150F6917"/>
    <w:rsid w:val="157E0E4B"/>
    <w:rsid w:val="159B6219"/>
    <w:rsid w:val="161316C2"/>
    <w:rsid w:val="161F43DC"/>
    <w:rsid w:val="16BE50DE"/>
    <w:rsid w:val="16C93FBB"/>
    <w:rsid w:val="17283764"/>
    <w:rsid w:val="17587663"/>
    <w:rsid w:val="1759535B"/>
    <w:rsid w:val="17800EAB"/>
    <w:rsid w:val="17D810AE"/>
    <w:rsid w:val="180A4C18"/>
    <w:rsid w:val="18854A4A"/>
    <w:rsid w:val="18B07887"/>
    <w:rsid w:val="18B232E6"/>
    <w:rsid w:val="18ED4F07"/>
    <w:rsid w:val="19120228"/>
    <w:rsid w:val="1913598E"/>
    <w:rsid w:val="191F585A"/>
    <w:rsid w:val="19271DA0"/>
    <w:rsid w:val="193E2DCB"/>
    <w:rsid w:val="198C1D89"/>
    <w:rsid w:val="19E86AB2"/>
    <w:rsid w:val="1A1678A4"/>
    <w:rsid w:val="1A5F749D"/>
    <w:rsid w:val="1ABF0C9A"/>
    <w:rsid w:val="1B177D78"/>
    <w:rsid w:val="1B316D83"/>
    <w:rsid w:val="1B4C37C0"/>
    <w:rsid w:val="1B590390"/>
    <w:rsid w:val="1B751249"/>
    <w:rsid w:val="1B8A7C14"/>
    <w:rsid w:val="1BA869C7"/>
    <w:rsid w:val="1BC670A8"/>
    <w:rsid w:val="1C4219B4"/>
    <w:rsid w:val="1C76197F"/>
    <w:rsid w:val="1C8F393E"/>
    <w:rsid w:val="1CA27B15"/>
    <w:rsid w:val="1CE819CC"/>
    <w:rsid w:val="1D125582"/>
    <w:rsid w:val="1D472ECB"/>
    <w:rsid w:val="1D5E0397"/>
    <w:rsid w:val="1D660B43"/>
    <w:rsid w:val="1D9B6A3E"/>
    <w:rsid w:val="1DBB491E"/>
    <w:rsid w:val="1DDA2008"/>
    <w:rsid w:val="1DEA4473"/>
    <w:rsid w:val="1E075364"/>
    <w:rsid w:val="1E3D0A28"/>
    <w:rsid w:val="1E574E55"/>
    <w:rsid w:val="1E7F010E"/>
    <w:rsid w:val="1E8E20FF"/>
    <w:rsid w:val="1F7164F9"/>
    <w:rsid w:val="1F9C54A8"/>
    <w:rsid w:val="20DE4CFD"/>
    <w:rsid w:val="20F52909"/>
    <w:rsid w:val="21004E0A"/>
    <w:rsid w:val="213D6D9A"/>
    <w:rsid w:val="214116AB"/>
    <w:rsid w:val="2144566C"/>
    <w:rsid w:val="2156230B"/>
    <w:rsid w:val="21613B53"/>
    <w:rsid w:val="21A82A10"/>
    <w:rsid w:val="223B07F0"/>
    <w:rsid w:val="225E003A"/>
    <w:rsid w:val="227F65A4"/>
    <w:rsid w:val="22F07AE2"/>
    <w:rsid w:val="232F5F2C"/>
    <w:rsid w:val="237044C9"/>
    <w:rsid w:val="238E2BA1"/>
    <w:rsid w:val="239006C7"/>
    <w:rsid w:val="246263D8"/>
    <w:rsid w:val="24A41EED"/>
    <w:rsid w:val="24B42976"/>
    <w:rsid w:val="24DA2DF4"/>
    <w:rsid w:val="252C71BA"/>
    <w:rsid w:val="25565E93"/>
    <w:rsid w:val="259301BB"/>
    <w:rsid w:val="25A0096A"/>
    <w:rsid w:val="25C54CCC"/>
    <w:rsid w:val="25F0636F"/>
    <w:rsid w:val="26016566"/>
    <w:rsid w:val="26020081"/>
    <w:rsid w:val="26094761"/>
    <w:rsid w:val="263712CE"/>
    <w:rsid w:val="26547BDD"/>
    <w:rsid w:val="27C44DE4"/>
    <w:rsid w:val="27DB7791"/>
    <w:rsid w:val="27E56B08"/>
    <w:rsid w:val="28616B77"/>
    <w:rsid w:val="28EF7AB7"/>
    <w:rsid w:val="29233D8C"/>
    <w:rsid w:val="29634512"/>
    <w:rsid w:val="2967011C"/>
    <w:rsid w:val="296B229E"/>
    <w:rsid w:val="296F6FD1"/>
    <w:rsid w:val="297B3BC8"/>
    <w:rsid w:val="297B5362"/>
    <w:rsid w:val="298A3E0B"/>
    <w:rsid w:val="299E1F1F"/>
    <w:rsid w:val="29C249FC"/>
    <w:rsid w:val="29E67293"/>
    <w:rsid w:val="29ED4157"/>
    <w:rsid w:val="29FA2C4E"/>
    <w:rsid w:val="2A077209"/>
    <w:rsid w:val="2A1F09F7"/>
    <w:rsid w:val="2AB47391"/>
    <w:rsid w:val="2AC90642"/>
    <w:rsid w:val="2B227FD8"/>
    <w:rsid w:val="2B971F94"/>
    <w:rsid w:val="2C471B3F"/>
    <w:rsid w:val="2D085772"/>
    <w:rsid w:val="2D17643B"/>
    <w:rsid w:val="2D2B4A2D"/>
    <w:rsid w:val="2DA27975"/>
    <w:rsid w:val="2E2E745B"/>
    <w:rsid w:val="2E3315C5"/>
    <w:rsid w:val="2E4125AC"/>
    <w:rsid w:val="2E586286"/>
    <w:rsid w:val="2EB25AEF"/>
    <w:rsid w:val="2EFC4E63"/>
    <w:rsid w:val="2FA35096"/>
    <w:rsid w:val="2FEF2C1A"/>
    <w:rsid w:val="300F0EDA"/>
    <w:rsid w:val="30395C43"/>
    <w:rsid w:val="3086602E"/>
    <w:rsid w:val="308C6D70"/>
    <w:rsid w:val="31224929"/>
    <w:rsid w:val="31541EC1"/>
    <w:rsid w:val="31AD4B3A"/>
    <w:rsid w:val="31E367AE"/>
    <w:rsid w:val="32035262"/>
    <w:rsid w:val="323037F1"/>
    <w:rsid w:val="32632EBD"/>
    <w:rsid w:val="329C34A6"/>
    <w:rsid w:val="32BD64E3"/>
    <w:rsid w:val="32F347CF"/>
    <w:rsid w:val="33B45D0C"/>
    <w:rsid w:val="33CA382F"/>
    <w:rsid w:val="349B1368"/>
    <w:rsid w:val="34A42225"/>
    <w:rsid w:val="34C7361A"/>
    <w:rsid w:val="351078BA"/>
    <w:rsid w:val="35132F06"/>
    <w:rsid w:val="35CA5EA6"/>
    <w:rsid w:val="35CD0BE5"/>
    <w:rsid w:val="367B7967"/>
    <w:rsid w:val="37083929"/>
    <w:rsid w:val="374F76EC"/>
    <w:rsid w:val="379E223A"/>
    <w:rsid w:val="37A208F2"/>
    <w:rsid w:val="37D20707"/>
    <w:rsid w:val="37FE0884"/>
    <w:rsid w:val="38082ACA"/>
    <w:rsid w:val="38500B74"/>
    <w:rsid w:val="38FD1426"/>
    <w:rsid w:val="390D39E8"/>
    <w:rsid w:val="395B6028"/>
    <w:rsid w:val="39E7232B"/>
    <w:rsid w:val="3A3E46BE"/>
    <w:rsid w:val="3A445FA5"/>
    <w:rsid w:val="3A612966"/>
    <w:rsid w:val="3A747200"/>
    <w:rsid w:val="3AAD60BD"/>
    <w:rsid w:val="3B1167C1"/>
    <w:rsid w:val="3B824942"/>
    <w:rsid w:val="3BAC5E63"/>
    <w:rsid w:val="3BC96A15"/>
    <w:rsid w:val="3BE41223"/>
    <w:rsid w:val="3C324B34"/>
    <w:rsid w:val="3C8914CE"/>
    <w:rsid w:val="3DA96B1A"/>
    <w:rsid w:val="3E3529F9"/>
    <w:rsid w:val="3EE9275D"/>
    <w:rsid w:val="3EFB412B"/>
    <w:rsid w:val="3F0C10F2"/>
    <w:rsid w:val="3F310B59"/>
    <w:rsid w:val="3F4940F4"/>
    <w:rsid w:val="3F7C7AA2"/>
    <w:rsid w:val="3F8769CB"/>
    <w:rsid w:val="3F8A2017"/>
    <w:rsid w:val="3F9C44E8"/>
    <w:rsid w:val="3FC25C55"/>
    <w:rsid w:val="3FE43E1D"/>
    <w:rsid w:val="3FF32979"/>
    <w:rsid w:val="405F44D8"/>
    <w:rsid w:val="406E27D8"/>
    <w:rsid w:val="40754A75"/>
    <w:rsid w:val="408425A2"/>
    <w:rsid w:val="409C35C5"/>
    <w:rsid w:val="40E512E8"/>
    <w:rsid w:val="40F956A6"/>
    <w:rsid w:val="411B561D"/>
    <w:rsid w:val="412B6E47"/>
    <w:rsid w:val="41322966"/>
    <w:rsid w:val="41401D0D"/>
    <w:rsid w:val="414A4154"/>
    <w:rsid w:val="414F2CC0"/>
    <w:rsid w:val="416F0960"/>
    <w:rsid w:val="417D62D7"/>
    <w:rsid w:val="41830F09"/>
    <w:rsid w:val="41AA6138"/>
    <w:rsid w:val="42016E66"/>
    <w:rsid w:val="42240291"/>
    <w:rsid w:val="422A4671"/>
    <w:rsid w:val="422F6613"/>
    <w:rsid w:val="424D539E"/>
    <w:rsid w:val="425A03C6"/>
    <w:rsid w:val="427713E3"/>
    <w:rsid w:val="42A34EF8"/>
    <w:rsid w:val="42F52F66"/>
    <w:rsid w:val="43467C1F"/>
    <w:rsid w:val="43505326"/>
    <w:rsid w:val="43D861A4"/>
    <w:rsid w:val="4415468F"/>
    <w:rsid w:val="447A00BE"/>
    <w:rsid w:val="44BD591A"/>
    <w:rsid w:val="44C379A3"/>
    <w:rsid w:val="44C922B6"/>
    <w:rsid w:val="45046FB0"/>
    <w:rsid w:val="453018B3"/>
    <w:rsid w:val="455F7B5C"/>
    <w:rsid w:val="457A48DC"/>
    <w:rsid w:val="45896FF7"/>
    <w:rsid w:val="45B0423F"/>
    <w:rsid w:val="46554BF1"/>
    <w:rsid w:val="465B64BB"/>
    <w:rsid w:val="46C91677"/>
    <w:rsid w:val="484511D1"/>
    <w:rsid w:val="48931790"/>
    <w:rsid w:val="48AB372A"/>
    <w:rsid w:val="491F1F8A"/>
    <w:rsid w:val="496343A9"/>
    <w:rsid w:val="498C3781"/>
    <w:rsid w:val="49973CAE"/>
    <w:rsid w:val="49E14F29"/>
    <w:rsid w:val="4A0A0924"/>
    <w:rsid w:val="4A1B11DD"/>
    <w:rsid w:val="4A5E2A1E"/>
    <w:rsid w:val="4AC565F9"/>
    <w:rsid w:val="4AE47A91"/>
    <w:rsid w:val="4B3B24B9"/>
    <w:rsid w:val="4B5A1437"/>
    <w:rsid w:val="4B86293C"/>
    <w:rsid w:val="4BAF09E4"/>
    <w:rsid w:val="4BB501C6"/>
    <w:rsid w:val="4BD028C4"/>
    <w:rsid w:val="4C1E2465"/>
    <w:rsid w:val="4C632C63"/>
    <w:rsid w:val="4CCE2312"/>
    <w:rsid w:val="4CD31AFD"/>
    <w:rsid w:val="4CE4720A"/>
    <w:rsid w:val="4DBC1F35"/>
    <w:rsid w:val="4E42314D"/>
    <w:rsid w:val="4E951A54"/>
    <w:rsid w:val="4EB04A26"/>
    <w:rsid w:val="4F0D6E8B"/>
    <w:rsid w:val="4F1D497A"/>
    <w:rsid w:val="4F296AE0"/>
    <w:rsid w:val="4F702FD7"/>
    <w:rsid w:val="4F8A536B"/>
    <w:rsid w:val="4FA32EBD"/>
    <w:rsid w:val="50EF43D0"/>
    <w:rsid w:val="51121E6C"/>
    <w:rsid w:val="5159408D"/>
    <w:rsid w:val="519C4558"/>
    <w:rsid w:val="51E235E4"/>
    <w:rsid w:val="51F55A16"/>
    <w:rsid w:val="527A416D"/>
    <w:rsid w:val="530009EB"/>
    <w:rsid w:val="530C784E"/>
    <w:rsid w:val="53232466"/>
    <w:rsid w:val="535A5330"/>
    <w:rsid w:val="53BE76DC"/>
    <w:rsid w:val="53E01440"/>
    <w:rsid w:val="54212214"/>
    <w:rsid w:val="54727D87"/>
    <w:rsid w:val="5474446B"/>
    <w:rsid w:val="54973DD2"/>
    <w:rsid w:val="54D47B64"/>
    <w:rsid w:val="54DC5F38"/>
    <w:rsid w:val="55306D65"/>
    <w:rsid w:val="553379E0"/>
    <w:rsid w:val="5546650A"/>
    <w:rsid w:val="55570917"/>
    <w:rsid w:val="55A51501"/>
    <w:rsid w:val="55E24503"/>
    <w:rsid w:val="55E7058E"/>
    <w:rsid w:val="55E86812"/>
    <w:rsid w:val="55E97640"/>
    <w:rsid w:val="56905D0D"/>
    <w:rsid w:val="56CC14F3"/>
    <w:rsid w:val="570D3802"/>
    <w:rsid w:val="59034EBC"/>
    <w:rsid w:val="5960230F"/>
    <w:rsid w:val="598D0C2A"/>
    <w:rsid w:val="5996188C"/>
    <w:rsid w:val="59DB3A74"/>
    <w:rsid w:val="59EC76FE"/>
    <w:rsid w:val="5A683991"/>
    <w:rsid w:val="5A8D36B4"/>
    <w:rsid w:val="5A9D2A0D"/>
    <w:rsid w:val="5AC8016B"/>
    <w:rsid w:val="5AE825BC"/>
    <w:rsid w:val="5AF319E8"/>
    <w:rsid w:val="5B834092"/>
    <w:rsid w:val="5BAA5AC3"/>
    <w:rsid w:val="5BAD7361"/>
    <w:rsid w:val="5C0922E1"/>
    <w:rsid w:val="5C154CD5"/>
    <w:rsid w:val="5C180F45"/>
    <w:rsid w:val="5C7E485A"/>
    <w:rsid w:val="5CB62246"/>
    <w:rsid w:val="5CEC5C67"/>
    <w:rsid w:val="5CEE5E83"/>
    <w:rsid w:val="5D265105"/>
    <w:rsid w:val="5D2C42B6"/>
    <w:rsid w:val="5D3778FE"/>
    <w:rsid w:val="5D521F6E"/>
    <w:rsid w:val="5D635F29"/>
    <w:rsid w:val="5D79399F"/>
    <w:rsid w:val="5D79567D"/>
    <w:rsid w:val="5DA07986"/>
    <w:rsid w:val="5DC240C8"/>
    <w:rsid w:val="5DC866D4"/>
    <w:rsid w:val="5DCC7F73"/>
    <w:rsid w:val="5DD706C5"/>
    <w:rsid w:val="5DF474C9"/>
    <w:rsid w:val="5E0C65C1"/>
    <w:rsid w:val="5E6A32E8"/>
    <w:rsid w:val="5E8421B7"/>
    <w:rsid w:val="5E85407C"/>
    <w:rsid w:val="5E9915AA"/>
    <w:rsid w:val="5E9F7435"/>
    <w:rsid w:val="5EDF1BE2"/>
    <w:rsid w:val="5FD56CFB"/>
    <w:rsid w:val="5FE243CB"/>
    <w:rsid w:val="5FFB4B3F"/>
    <w:rsid w:val="604664F9"/>
    <w:rsid w:val="60D36218"/>
    <w:rsid w:val="60DE061A"/>
    <w:rsid w:val="610B7004"/>
    <w:rsid w:val="611A381C"/>
    <w:rsid w:val="613D6B6E"/>
    <w:rsid w:val="617F0735"/>
    <w:rsid w:val="61917EE2"/>
    <w:rsid w:val="620C37D0"/>
    <w:rsid w:val="62173786"/>
    <w:rsid w:val="624D4CE0"/>
    <w:rsid w:val="628D68EA"/>
    <w:rsid w:val="62CF3409"/>
    <w:rsid w:val="634B7E3B"/>
    <w:rsid w:val="63735212"/>
    <w:rsid w:val="63A23524"/>
    <w:rsid w:val="63F2026A"/>
    <w:rsid w:val="6412601E"/>
    <w:rsid w:val="64596731"/>
    <w:rsid w:val="64A74D77"/>
    <w:rsid w:val="64D12049"/>
    <w:rsid w:val="64DD0CB7"/>
    <w:rsid w:val="64EA6FA5"/>
    <w:rsid w:val="6562740E"/>
    <w:rsid w:val="65B74272"/>
    <w:rsid w:val="67357E07"/>
    <w:rsid w:val="673E1C22"/>
    <w:rsid w:val="67915D89"/>
    <w:rsid w:val="679D4253"/>
    <w:rsid w:val="680B5B3B"/>
    <w:rsid w:val="685A3F49"/>
    <w:rsid w:val="688C2D3E"/>
    <w:rsid w:val="68C117F9"/>
    <w:rsid w:val="69192BEE"/>
    <w:rsid w:val="69A00505"/>
    <w:rsid w:val="69E91EAC"/>
    <w:rsid w:val="6A7F45BF"/>
    <w:rsid w:val="6AA80C0A"/>
    <w:rsid w:val="6B1271E1"/>
    <w:rsid w:val="6B2C1649"/>
    <w:rsid w:val="6B3A0EF8"/>
    <w:rsid w:val="6B9E2823"/>
    <w:rsid w:val="6BB8289B"/>
    <w:rsid w:val="6BF73628"/>
    <w:rsid w:val="6C24482A"/>
    <w:rsid w:val="6CD504C6"/>
    <w:rsid w:val="6CDD1929"/>
    <w:rsid w:val="6D2B458A"/>
    <w:rsid w:val="6D444684"/>
    <w:rsid w:val="6D5533B5"/>
    <w:rsid w:val="6DA32372"/>
    <w:rsid w:val="6DAE1443"/>
    <w:rsid w:val="6DBE53FE"/>
    <w:rsid w:val="6E57346C"/>
    <w:rsid w:val="6EA2087C"/>
    <w:rsid w:val="6EA34C43"/>
    <w:rsid w:val="6F1E43A6"/>
    <w:rsid w:val="6F7E4E45"/>
    <w:rsid w:val="70576760"/>
    <w:rsid w:val="705D0266"/>
    <w:rsid w:val="70C96594"/>
    <w:rsid w:val="71015D2D"/>
    <w:rsid w:val="71034C16"/>
    <w:rsid w:val="7132172F"/>
    <w:rsid w:val="71646385"/>
    <w:rsid w:val="71670177"/>
    <w:rsid w:val="71716ED2"/>
    <w:rsid w:val="71D92806"/>
    <w:rsid w:val="71EA7B61"/>
    <w:rsid w:val="725C17FC"/>
    <w:rsid w:val="72D831FD"/>
    <w:rsid w:val="72DF3E4C"/>
    <w:rsid w:val="72E651DB"/>
    <w:rsid w:val="72F65599"/>
    <w:rsid w:val="72FB6C4A"/>
    <w:rsid w:val="73531308"/>
    <w:rsid w:val="736F554C"/>
    <w:rsid w:val="738A274E"/>
    <w:rsid w:val="739C7E17"/>
    <w:rsid w:val="73A01E6F"/>
    <w:rsid w:val="73BB3C7D"/>
    <w:rsid w:val="745C1261"/>
    <w:rsid w:val="74640AAD"/>
    <w:rsid w:val="74E03EAC"/>
    <w:rsid w:val="7535244A"/>
    <w:rsid w:val="75B94E29"/>
    <w:rsid w:val="76004806"/>
    <w:rsid w:val="76BE1FCB"/>
    <w:rsid w:val="76D17F50"/>
    <w:rsid w:val="76E81B95"/>
    <w:rsid w:val="77311A68"/>
    <w:rsid w:val="7755292F"/>
    <w:rsid w:val="775F45E6"/>
    <w:rsid w:val="77BD78E1"/>
    <w:rsid w:val="78065AAC"/>
    <w:rsid w:val="78322448"/>
    <w:rsid w:val="78484A41"/>
    <w:rsid w:val="786352E3"/>
    <w:rsid w:val="789E3E62"/>
    <w:rsid w:val="78A7540C"/>
    <w:rsid w:val="78B418D7"/>
    <w:rsid w:val="78BE2BC8"/>
    <w:rsid w:val="78E421BD"/>
    <w:rsid w:val="78F46777"/>
    <w:rsid w:val="78F47F26"/>
    <w:rsid w:val="792151BF"/>
    <w:rsid w:val="79482255"/>
    <w:rsid w:val="79FE3AA5"/>
    <w:rsid w:val="7A251062"/>
    <w:rsid w:val="7A4D1FE3"/>
    <w:rsid w:val="7A50506B"/>
    <w:rsid w:val="7A5E5F9F"/>
    <w:rsid w:val="7A9D0644"/>
    <w:rsid w:val="7AC04563"/>
    <w:rsid w:val="7AFB3B19"/>
    <w:rsid w:val="7B0479A9"/>
    <w:rsid w:val="7B2A7C2F"/>
    <w:rsid w:val="7B5F3D8D"/>
    <w:rsid w:val="7B5F6300"/>
    <w:rsid w:val="7B691F08"/>
    <w:rsid w:val="7B7315D6"/>
    <w:rsid w:val="7B9949CC"/>
    <w:rsid w:val="7BB6333A"/>
    <w:rsid w:val="7C3A1553"/>
    <w:rsid w:val="7C4A3FD5"/>
    <w:rsid w:val="7CCE33DF"/>
    <w:rsid w:val="7CDD7855"/>
    <w:rsid w:val="7CF84840"/>
    <w:rsid w:val="7D07647A"/>
    <w:rsid w:val="7D0A5F6A"/>
    <w:rsid w:val="7E3A287F"/>
    <w:rsid w:val="7E7044F2"/>
    <w:rsid w:val="7EF46ED2"/>
    <w:rsid w:val="7F1D612A"/>
    <w:rsid w:val="7F2A5B4D"/>
    <w:rsid w:val="7F3D2627"/>
    <w:rsid w:val="7FD03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0" w:firstLineChars="200"/>
      <w:jc w:val="both"/>
    </w:pPr>
    <w:rPr>
      <w:rFonts w:ascii="Times New Roman" w:hAnsi="Times New Roman" w:eastAsia="仿宋" w:cs="Times New Roman"/>
      <w:kern w:val="2"/>
      <w:sz w:val="32"/>
      <w:szCs w:val="24"/>
      <w:lang w:val="en-US" w:eastAsia="zh-CN" w:bidi="ar-SA"/>
    </w:rPr>
  </w:style>
  <w:style w:type="paragraph" w:styleId="2">
    <w:name w:val="heading 1"/>
    <w:basedOn w:val="1"/>
    <w:next w:val="1"/>
    <w:link w:val="27"/>
    <w:autoRedefine/>
    <w:qFormat/>
    <w:uiPriority w:val="0"/>
    <w:pPr>
      <w:keepNext/>
      <w:keepLines/>
      <w:spacing w:line="360" w:lineRule="auto"/>
      <w:ind w:firstLine="600" w:firstLineChars="200"/>
      <w:outlineLvl w:val="0"/>
    </w:pPr>
    <w:rPr>
      <w:rFonts w:ascii="Times New Roman" w:hAnsi="Times New Roman" w:eastAsia="仿宋"/>
      <w:b/>
      <w:kern w:val="44"/>
      <w:sz w:val="36"/>
    </w:rPr>
  </w:style>
  <w:style w:type="paragraph" w:styleId="3">
    <w:name w:val="heading 2"/>
    <w:basedOn w:val="1"/>
    <w:next w:val="1"/>
    <w:autoRedefine/>
    <w:qFormat/>
    <w:uiPriority w:val="0"/>
    <w:pPr>
      <w:keepNext/>
      <w:keepLines/>
      <w:spacing w:line="360" w:lineRule="auto"/>
      <w:ind w:firstLine="880" w:firstLineChars="200"/>
      <w:outlineLvl w:val="1"/>
    </w:pPr>
    <w:rPr>
      <w:rFonts w:ascii="Cambria" w:hAnsi="Cambria" w:eastAsia="仿宋"/>
      <w:b/>
      <w:bCs/>
      <w:sz w:val="32"/>
      <w:szCs w:val="32"/>
    </w:rPr>
  </w:style>
  <w:style w:type="paragraph" w:styleId="4">
    <w:name w:val="heading 3"/>
    <w:basedOn w:val="1"/>
    <w:next w:val="1"/>
    <w:autoRedefine/>
    <w:unhideWhenUsed/>
    <w:qFormat/>
    <w:uiPriority w:val="0"/>
    <w:pPr>
      <w:keepNext/>
      <w:keepLines/>
      <w:spacing w:line="360" w:lineRule="auto"/>
      <w:ind w:firstLine="600" w:firstLineChars="200"/>
      <w:outlineLvl w:val="2"/>
    </w:pPr>
    <w:rPr>
      <w:rFonts w:ascii="Times New Roman" w:hAnsi="Times New Roman" w:eastAsia="仿宋"/>
      <w:b/>
      <w:sz w:val="32"/>
    </w:rPr>
  </w:style>
  <w:style w:type="paragraph" w:styleId="5">
    <w:name w:val="heading 4"/>
    <w:basedOn w:val="1"/>
    <w:next w:val="1"/>
    <w:autoRedefine/>
    <w:unhideWhenUsed/>
    <w:qFormat/>
    <w:uiPriority w:val="0"/>
    <w:pPr>
      <w:keepNext/>
      <w:keepLines/>
      <w:spacing w:line="360" w:lineRule="auto"/>
      <w:ind w:firstLine="640" w:firstLineChars="200"/>
      <w:outlineLvl w:val="3"/>
    </w:pPr>
    <w:rPr>
      <w:rFonts w:ascii="仿宋" w:hAnsi="仿宋" w:eastAsia="仿宋"/>
    </w:rPr>
  </w:style>
  <w:style w:type="paragraph" w:styleId="6">
    <w:name w:val="heading 5"/>
    <w:basedOn w:val="1"/>
    <w:next w:val="1"/>
    <w:autoRedefine/>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7">
    <w:name w:val="Normal Indent"/>
    <w:basedOn w:val="1"/>
    <w:next w:val="8"/>
    <w:autoRedefine/>
    <w:unhideWhenUsed/>
    <w:qFormat/>
    <w:uiPriority w:val="0"/>
    <w:pPr>
      <w:ind w:firstLine="420" w:firstLineChars="200"/>
    </w:pPr>
    <w:rPr>
      <w:rFonts w:ascii="Arial" w:hAnsi="Arial" w:eastAsia="宋体"/>
      <w:kern w:val="0"/>
      <w:sz w:val="20"/>
      <w:szCs w:val="20"/>
    </w:rPr>
  </w:style>
  <w:style w:type="paragraph" w:styleId="8">
    <w:name w:val="Body Text"/>
    <w:basedOn w:val="1"/>
    <w:next w:val="1"/>
    <w:autoRedefine/>
    <w:qFormat/>
    <w:uiPriority w:val="0"/>
    <w:rPr>
      <w:sz w:val="28"/>
    </w:rPr>
  </w:style>
  <w:style w:type="paragraph" w:styleId="9">
    <w:name w:val="caption"/>
    <w:basedOn w:val="1"/>
    <w:next w:val="1"/>
    <w:autoRedefine/>
    <w:unhideWhenUsed/>
    <w:qFormat/>
    <w:uiPriority w:val="0"/>
    <w:rPr>
      <w:rFonts w:ascii="Arial" w:hAnsi="Arial" w:eastAsia="黑体"/>
      <w:sz w:val="20"/>
    </w:rPr>
  </w:style>
  <w:style w:type="paragraph" w:styleId="10">
    <w:name w:val="Body Text Indent"/>
    <w:basedOn w:val="1"/>
    <w:autoRedefine/>
    <w:qFormat/>
    <w:uiPriority w:val="0"/>
    <w:pPr>
      <w:spacing w:after="120" w:afterLines="0" w:afterAutospacing="0"/>
      <w:ind w:left="420" w:leftChars="200"/>
    </w:pPr>
  </w:style>
  <w:style w:type="paragraph" w:styleId="11">
    <w:name w:val="Balloon Text"/>
    <w:basedOn w:val="1"/>
    <w:link w:val="28"/>
    <w:autoRedefine/>
    <w:qFormat/>
    <w:uiPriority w:val="0"/>
    <w:rPr>
      <w:sz w:val="18"/>
      <w:szCs w:val="18"/>
    </w:rPr>
  </w:style>
  <w:style w:type="paragraph" w:styleId="12">
    <w:name w:val="footer"/>
    <w:basedOn w:val="1"/>
    <w:autoRedefine/>
    <w:qFormat/>
    <w:uiPriority w:val="0"/>
    <w:pPr>
      <w:tabs>
        <w:tab w:val="center" w:pos="4153"/>
        <w:tab w:val="right" w:pos="8306"/>
      </w:tabs>
      <w:snapToGrid w:val="0"/>
      <w:jc w:val="left"/>
    </w:pPr>
    <w:rPr>
      <w:sz w:val="18"/>
    </w:rPr>
  </w:style>
  <w:style w:type="paragraph" w:styleId="1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autoRedefine/>
    <w:qFormat/>
    <w:uiPriority w:val="0"/>
  </w:style>
  <w:style w:type="paragraph" w:styleId="15">
    <w:name w:val="footnote text"/>
    <w:basedOn w:val="1"/>
    <w:autoRedefine/>
    <w:qFormat/>
    <w:uiPriority w:val="0"/>
    <w:pPr>
      <w:snapToGrid w:val="0"/>
      <w:jc w:val="left"/>
    </w:pPr>
    <w:rPr>
      <w:sz w:val="18"/>
    </w:rPr>
  </w:style>
  <w:style w:type="paragraph" w:styleId="16">
    <w:name w:val="toc 2"/>
    <w:basedOn w:val="1"/>
    <w:next w:val="1"/>
    <w:autoRedefine/>
    <w:qFormat/>
    <w:uiPriority w:val="0"/>
    <w:pPr>
      <w:ind w:left="420" w:leftChars="200"/>
    </w:pPr>
  </w:style>
  <w:style w:type="paragraph" w:styleId="1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8">
    <w:name w:val="Body Text First Indent"/>
    <w:basedOn w:val="1"/>
    <w:autoRedefine/>
    <w:unhideWhenUsed/>
    <w:qFormat/>
    <w:uiPriority w:val="99"/>
    <w:pPr>
      <w:ind w:firstLine="420" w:firstLineChars="100"/>
    </w:pPr>
  </w:style>
  <w:style w:type="paragraph" w:styleId="19">
    <w:name w:val="Body Text First Indent 2"/>
    <w:basedOn w:val="10"/>
    <w:autoRedefine/>
    <w:qFormat/>
    <w:uiPriority w:val="0"/>
    <w:pPr>
      <w:ind w:firstLine="420" w:firstLineChars="200"/>
    </w:pPr>
  </w:style>
  <w:style w:type="table" w:styleId="21">
    <w:name w:val="Table Grid"/>
    <w:basedOn w:val="2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otnote reference"/>
    <w:basedOn w:val="22"/>
    <w:qFormat/>
    <w:uiPriority w:val="0"/>
    <w:rPr>
      <w:vertAlign w:val="superscript"/>
    </w:rPr>
  </w:style>
  <w:style w:type="paragraph" w:customStyle="1" w:styleId="24">
    <w:name w:val="Table Paragraph"/>
    <w:basedOn w:val="1"/>
    <w:autoRedefine/>
    <w:qFormat/>
    <w:uiPriority w:val="1"/>
    <w:rPr>
      <w:rFonts w:ascii="宋体" w:hAnsi="宋体" w:eastAsia="宋体" w:cs="宋体"/>
      <w:lang w:val="zh-CN" w:bidi="zh-CN"/>
    </w:rPr>
  </w:style>
  <w:style w:type="paragraph" w:customStyle="1" w:styleId="25">
    <w:name w:val="列表段落11"/>
    <w:autoRedefine/>
    <w:qFormat/>
    <w:uiPriority w:val="99"/>
    <w:pPr>
      <w:widowControl w:val="0"/>
      <w:ind w:firstLine="420" w:firstLineChars="200"/>
      <w:jc w:val="both"/>
    </w:pPr>
    <w:rPr>
      <w:rFonts w:ascii="Calibri" w:hAnsi="Calibri" w:eastAsia="宋体" w:cs="Times New Roman"/>
      <w:kern w:val="2"/>
      <w:sz w:val="21"/>
      <w:szCs w:val="22"/>
      <w:lang w:val="en-US" w:eastAsia="zh-CN" w:bidi="ar-SA"/>
    </w:rPr>
  </w:style>
  <w:style w:type="paragraph" w:customStyle="1" w:styleId="26">
    <w:name w:val="列表段落1"/>
    <w:autoRedefine/>
    <w:qFormat/>
    <w:uiPriority w:val="99"/>
    <w:pPr>
      <w:widowControl w:val="0"/>
      <w:ind w:firstLine="420" w:firstLineChars="200"/>
      <w:jc w:val="both"/>
    </w:pPr>
    <w:rPr>
      <w:rFonts w:ascii="Calibri" w:hAnsi="Calibri" w:eastAsia="宋体" w:cs="Times New Roman"/>
      <w:kern w:val="2"/>
      <w:sz w:val="21"/>
      <w:szCs w:val="22"/>
      <w:lang w:val="en-US" w:eastAsia="zh-CN" w:bidi="ar-SA"/>
    </w:rPr>
  </w:style>
  <w:style w:type="character" w:customStyle="1" w:styleId="27">
    <w:name w:val="标题 1 Char"/>
    <w:link w:val="2"/>
    <w:autoRedefine/>
    <w:qFormat/>
    <w:uiPriority w:val="0"/>
    <w:rPr>
      <w:rFonts w:ascii="Times New Roman" w:hAnsi="Times New Roman" w:eastAsia="仿宋"/>
      <w:b/>
      <w:kern w:val="44"/>
      <w:sz w:val="36"/>
    </w:rPr>
  </w:style>
  <w:style w:type="character" w:customStyle="1" w:styleId="28">
    <w:name w:val="批注框文本 Char"/>
    <w:basedOn w:val="22"/>
    <w:link w:val="11"/>
    <w:autoRedefine/>
    <w:qFormat/>
    <w:uiPriority w:val="0"/>
    <w:rPr>
      <w:rFonts w:eastAsia="仿宋_GB2312"/>
      <w:kern w:val="2"/>
      <w:sz w:val="18"/>
      <w:szCs w:val="18"/>
    </w:rPr>
  </w:style>
  <w:style w:type="character" w:customStyle="1" w:styleId="29">
    <w:name w:val="font11"/>
    <w:basedOn w:val="22"/>
    <w:autoRedefine/>
    <w:qFormat/>
    <w:uiPriority w:val="0"/>
    <w:rPr>
      <w:rFonts w:hint="eastAsia" w:ascii="仿宋" w:hAnsi="仿宋" w:eastAsia="仿宋" w:cs="仿宋"/>
      <w:color w:val="000000"/>
      <w:sz w:val="18"/>
      <w:szCs w:val="18"/>
      <w:u w:val="none"/>
    </w:rPr>
  </w:style>
  <w:style w:type="paragraph" w:customStyle="1" w:styleId="30">
    <w:name w:val="Body Text First Indent1"/>
    <w:basedOn w:val="8"/>
    <w:autoRedefine/>
    <w:qFormat/>
    <w:uiPriority w:val="0"/>
    <w:pPr>
      <w:ind w:firstLine="420" w:firstLineChars="100"/>
    </w:pPr>
    <w:rPr>
      <w:rFonts w:hint="eastAsi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32</Pages>
  <Words>4441</Words>
  <Characters>4570</Characters>
  <Lines>129</Lines>
  <Paragraphs>36</Paragraphs>
  <TotalTime>6</TotalTime>
  <ScaleCrop>false</ScaleCrop>
  <LinksUpToDate>false</LinksUpToDate>
  <CharactersWithSpaces>4591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2021-08-30T07:39:00Z</dcterms:created>
  <dc:creator>包羊羊</dc:creator>
  <cp:lastModifiedBy>O O</cp:lastModifiedBy>
  <cp:lastPrinted>2022-07-27T02:08:00Z</cp:lastPrinted>
  <dcterms:modified xsi:type="dcterms:W3CDTF">2025-02-21T02:41:17Z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5B1EA7223E2F47FC9F2D8D20AE5BEAD8_13</vt:lpwstr>
  </property>
  <property fmtid="{D5CDD505-2E9C-101B-9397-08002B2CF9AE}" pid="4" name="KSOTemplateDocerSaveRecord">
    <vt:lpwstr>eyJoZGlkIjoiN2UwNmUzMDVlZjg1MzdjYmExOWYxYmZjZTgxMTExNTMiLCJ1c2VySWQiOiIxNTU0MDcwMTIwIn0=</vt:lpwstr>
  </property>
</Properties>
</file>